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lang w:val="en-US" w:eastAsia="zh-CN"/>
        </w:rPr>
      </w:pPr>
    </w:p>
    <w:p>
      <w:pPr>
        <w:pStyle w:val="4"/>
        <w:widowControl/>
        <w:jc w:val="center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《八卦岭片区产业空间供给侧改革专项</w:t>
      </w:r>
    </w:p>
    <w:p>
      <w:pPr>
        <w:pStyle w:val="4"/>
        <w:widowControl/>
        <w:jc w:val="center"/>
        <w:rPr>
          <w:rFonts w:hint="eastAsia" w:ascii="宋体" w:hAnsi="宋体" w:cs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措施》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起草说明</w:t>
      </w:r>
    </w:p>
    <w:p>
      <w:pPr>
        <w:pStyle w:val="4"/>
        <w:widowControl/>
        <w:jc w:val="center"/>
        <w:rPr>
          <w:rFonts w:hint="eastAsia" w:ascii="宋体" w:hAnsi="宋体" w:cs="宋体"/>
          <w:b/>
          <w:color w:val="auto"/>
          <w:sz w:val="44"/>
          <w:szCs w:val="44"/>
          <w:lang w:eastAsia="zh-CN"/>
        </w:rPr>
      </w:pPr>
    </w:p>
    <w:p>
      <w:pPr>
        <w:pStyle w:val="4"/>
        <w:widowControl/>
        <w:numPr>
          <w:ilvl w:val="0"/>
          <w:numId w:val="1"/>
        </w:numPr>
        <w:ind w:leftChars="200" w:right="0" w:rightChars="0" w:firstLine="320" w:firstLineChars="100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起草背景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卦岭片区是深圳市级工业区，在深圳市的经济发展历程中曾扮演了重要的角色，为福田区和深圳市经济腾飞作出了巨大贡献。目前，八卦岭片区成为福田发展的“洼地”，其具有代表性的服装制造、印刷包装、建材装饰、汽车配件和餐饮住宿行业发展动力不足、布局凌乱、综合效益低下、环境卫生治安条件差，严重制约了中心区“两区四高地”建设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8月，玉印书记</w:t>
      </w:r>
      <w:r>
        <w:rPr>
          <w:rFonts w:hint="default" w:ascii="仿宋" w:hAnsi="仿宋" w:eastAsia="仿宋" w:cs="宋体"/>
          <w:kern w:val="0"/>
          <w:sz w:val="32"/>
          <w:szCs w:val="32"/>
        </w:rPr>
        <w:t>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园岭街道</w:t>
      </w:r>
      <w:r>
        <w:rPr>
          <w:rFonts w:hint="default" w:ascii="仿宋" w:hAnsi="仿宋" w:eastAsia="仿宋" w:cs="宋体"/>
          <w:kern w:val="0"/>
          <w:sz w:val="32"/>
          <w:szCs w:val="32"/>
        </w:rPr>
        <w:t>调研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，园岭街道</w:t>
      </w:r>
      <w:r>
        <w:rPr>
          <w:rFonts w:hint="default" w:ascii="仿宋" w:hAnsi="仿宋" w:eastAsia="仿宋" w:cs="宋体"/>
          <w:kern w:val="0"/>
          <w:sz w:val="32"/>
          <w:szCs w:val="32"/>
        </w:rPr>
        <w:t>提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出请求尽快出台八卦岭片区产业空间供给侧改革专项措施，明确工业区产业引进标准和相关政策支持事项，精诚打造“环境像花园、文化像校园、生活像家园、创业成乐园”的新型工业园区。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目的和依据</w:t>
      </w:r>
    </w:p>
    <w:p>
      <w:pPr>
        <w:pStyle w:val="4"/>
        <w:widowControl/>
        <w:numPr>
          <w:ilvl w:val="0"/>
          <w:numId w:val="0"/>
        </w:numPr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为促进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八卦岭</w:t>
      </w:r>
      <w:r>
        <w:rPr>
          <w:rFonts w:hint="eastAsia" w:ascii="仿宋" w:hAnsi="仿宋" w:eastAsia="仿宋" w:cs="仿宋"/>
          <w:kern w:val="0"/>
          <w:sz w:val="32"/>
          <w:szCs w:val="32"/>
        </w:rPr>
        <w:t>片区转型发展,引入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先进制造和军民融合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资源,降低企业成本,加快产业集聚,根据《深圳市福田区产业发展专项资金管理办法》,制定本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措施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（二）征求意见情况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《措施》两次征求了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区发改局、科创局、财政局、更新局、企服中心、物业中心、投融署、文产办和园岭街道办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9家相关单位意见以及法律顾问意见，根据各单位反馈意见，我局对《措施》进行了修订完善。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二、《措施》主要内容说明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《八卦岭片区产业空间供给侧改革专项措施》</w:t>
      </w:r>
      <w:r>
        <w:rPr>
          <w:rFonts w:hint="eastAsia" w:ascii="仿宋" w:hAnsi="仿宋" w:eastAsia="仿宋" w:cs="仿宋"/>
          <w:sz w:val="32"/>
          <w:szCs w:val="32"/>
        </w:rPr>
        <w:t>适用于经区政府认可，注册登记、税务、统计关系在福田区，在八卦岭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片区</w:t>
      </w:r>
      <w:r>
        <w:rPr>
          <w:rFonts w:hint="eastAsia" w:ascii="仿宋" w:hAnsi="仿宋" w:eastAsia="仿宋" w:cs="仿宋"/>
          <w:sz w:val="32"/>
          <w:szCs w:val="32"/>
        </w:rPr>
        <w:t>实地经营，具有独立法人资格、健全的财务制度、实行独立核算的先进制造和军民融合企业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及该类企业园区运营</w:t>
      </w:r>
      <w:r>
        <w:rPr>
          <w:rFonts w:hint="eastAsia" w:ascii="仿宋" w:hAnsi="仿宋" w:eastAsia="仿宋" w:cs="仿宋"/>
          <w:sz w:val="32"/>
          <w:szCs w:val="32"/>
        </w:rPr>
        <w:t>机构。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内容包括：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政策目标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基本原则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支持对象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、适</w:t>
      </w:r>
      <w:r>
        <w:rPr>
          <w:rFonts w:hint="eastAsia" w:ascii="仿宋" w:hAnsi="仿宋" w:eastAsia="仿宋" w:cs="仿宋"/>
          <w:sz w:val="32"/>
          <w:szCs w:val="32"/>
        </w:rPr>
        <w:t>用范围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运营机构租金支持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限价出租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先进制造和军民融合企业租金支持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运营机构装修支持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、统租整栋楼宇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业主</w:t>
      </w:r>
      <w:r>
        <w:rPr>
          <w:rFonts w:hint="eastAsia" w:ascii="仿宋_GB2312" w:eastAsia="仿宋_GB2312"/>
          <w:sz w:val="32"/>
          <w:szCs w:val="32"/>
          <w:lang w:eastAsia="zh-CN"/>
        </w:rPr>
        <w:t>租赁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环境提升支持、</w:t>
      </w:r>
      <w:r>
        <w:rPr>
          <w:rFonts w:hint="eastAsia" w:ascii="仿宋" w:hAnsi="仿宋" w:eastAsia="仿宋" w:cs="仿宋"/>
          <w:sz w:val="32"/>
          <w:szCs w:val="32"/>
        </w:rPr>
        <w:t>特殊项目支持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项目准入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运营机构监管考核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限制和除外情形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附则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等十八个条款。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主要条款如下：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运营机构租金支持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对八卦岭片区引入先进制造和军民融合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的运营机构给予一定的支持，鼓励运营机构统租运营，形成产业集聚效应。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二是限价出租。</w:t>
      </w:r>
      <w:r>
        <w:rPr>
          <w:rFonts w:hint="eastAsia" w:ascii="仿宋" w:hAnsi="仿宋" w:eastAsia="仿宋" w:cs="仿宋"/>
          <w:sz w:val="32"/>
          <w:szCs w:val="32"/>
        </w:rPr>
        <w:t>接受政府租金支持的产业空间运营机构,其对外出租价不得高于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一定的价格，以降低企业成本，拉动经济增长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三是先进制造和军民融合企业租金支持。</w:t>
      </w:r>
      <w:r>
        <w:rPr>
          <w:rFonts w:hint="eastAsia" w:ascii="仿宋" w:hAnsi="仿宋" w:eastAsia="仿宋" w:cs="仿宋"/>
          <w:sz w:val="32"/>
          <w:szCs w:val="32"/>
        </w:rPr>
        <w:t>对先进制造和军民融合企业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租赁的生产厂房和办公用房给予一定支持，已降低企业生产成本。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四是运营机构装修支持。</w:t>
      </w:r>
      <w:r>
        <w:rPr>
          <w:rFonts w:hint="eastAsia" w:ascii="仿宋" w:hAnsi="仿宋" w:eastAsia="仿宋" w:cs="仿宋"/>
          <w:sz w:val="32"/>
          <w:szCs w:val="32"/>
        </w:rPr>
        <w:t>对产业空间进行首次装修改造的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给予一定的支持，以</w:t>
      </w:r>
      <w:r>
        <w:rPr>
          <w:rFonts w:hint="eastAsia" w:ascii="仿宋" w:hAnsi="仿宋" w:eastAsia="仿宋" w:cs="仿宋"/>
          <w:sz w:val="32"/>
          <w:szCs w:val="32"/>
        </w:rPr>
        <w:t>鼓励运营机构通过改造装修打造优质产业空间。</w:t>
      </w:r>
    </w:p>
    <w:p>
      <w:pPr>
        <w:pStyle w:val="8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五是运营支持。</w:t>
      </w:r>
      <w:r>
        <w:rPr>
          <w:rFonts w:hint="eastAsia" w:ascii="仿宋" w:hAnsi="仿宋" w:eastAsia="仿宋" w:cs="仿宋"/>
          <w:sz w:val="32"/>
          <w:szCs w:val="32"/>
        </w:rPr>
        <w:t>每年对运营机构进行绩效评估,给予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一定的</w:t>
      </w:r>
      <w:r>
        <w:rPr>
          <w:rFonts w:hint="eastAsia" w:ascii="仿宋" w:hAnsi="仿宋" w:eastAsia="仿宋" w:cs="仿宋"/>
          <w:sz w:val="32"/>
          <w:szCs w:val="32"/>
        </w:rPr>
        <w:t>运营奖励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支持运营机构整合资源、优化服务,引进和培育先进制造和军民融合企业。 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六是统租整栋楼宇支持。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统租整栋工业厂房且引进经</w:t>
      </w:r>
      <w:r>
        <w:rPr>
          <w:rFonts w:hint="eastAsia" w:ascii="仿宋" w:hAnsi="仿宋" w:eastAsia="仿宋" w:cs="仿宋"/>
          <w:sz w:val="32"/>
          <w:szCs w:val="32"/>
        </w:rPr>
        <w:t>区政府认可的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kern w:val="0"/>
          <w:sz w:val="32"/>
          <w:szCs w:val="32"/>
        </w:rPr>
        <w:t>制造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</w:rPr>
        <w:t>军民融合</w:t>
      </w:r>
      <w:r>
        <w:rPr>
          <w:rFonts w:hint="eastAsia" w:ascii="仿宋" w:hAnsi="仿宋" w:eastAsia="仿宋" w:cs="仿宋"/>
          <w:sz w:val="32"/>
          <w:szCs w:val="32"/>
        </w:rPr>
        <w:t>目标项目给予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园区运营机构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定的</w:t>
      </w:r>
      <w:r>
        <w:rPr>
          <w:rFonts w:hint="eastAsia" w:ascii="仿宋" w:hAnsi="仿宋" w:eastAsia="仿宋" w:cs="仿宋"/>
          <w:sz w:val="32"/>
          <w:szCs w:val="32"/>
        </w:rPr>
        <w:t>支持。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七是业主租赁支持。</w:t>
      </w:r>
      <w:r>
        <w:rPr>
          <w:rFonts w:hint="eastAsia" w:ascii="仿宋_GB2312" w:eastAsia="仿宋_GB2312"/>
          <w:sz w:val="32"/>
          <w:szCs w:val="32"/>
        </w:rPr>
        <w:t>楼宇业主单位与企业成功签约，对单个业主给予</w:t>
      </w:r>
      <w:r>
        <w:rPr>
          <w:rFonts w:hint="eastAsia" w:ascii="仿宋_GB2312" w:eastAsia="仿宋_GB2312"/>
          <w:sz w:val="32"/>
          <w:szCs w:val="32"/>
          <w:lang w:eastAsia="zh-CN"/>
        </w:rPr>
        <w:t>一定的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  <w:lang w:eastAsia="zh-CN"/>
        </w:rPr>
        <w:t>，以鼓励业主引入先进制造和军民融合企业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八是环境提升支持。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物业管理公司或单体楼宇业主等对楼宇周边环境、公共设施等投入的，</w:t>
      </w:r>
      <w:r>
        <w:rPr>
          <w:rFonts w:hint="eastAsia" w:ascii="仿宋" w:hAnsi="仿宋" w:eastAsia="仿宋" w:cs="仿宋"/>
          <w:sz w:val="32"/>
          <w:szCs w:val="32"/>
        </w:rPr>
        <w:t>给予一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定的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，以提升周边环境，营造更好的产业发展氛围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三、资金匡算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经初步测算，政策资金预计6420万元。其中，</w:t>
      </w:r>
      <w:r>
        <w:rPr>
          <w:rFonts w:hint="eastAsia" w:ascii="仿宋" w:hAnsi="仿宋" w:eastAsia="仿宋" w:cs="仿宋"/>
          <w:sz w:val="32"/>
          <w:szCs w:val="32"/>
        </w:rPr>
        <w:t>运营机构租金支持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3240万元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先进制造和军民融合企业租金支持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运营机构装修支持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运营支持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、统租整栋楼宇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业主</w:t>
      </w:r>
      <w:r>
        <w:rPr>
          <w:rFonts w:hint="eastAsia" w:ascii="仿宋_GB2312" w:eastAsia="仿宋_GB2312"/>
          <w:sz w:val="32"/>
          <w:szCs w:val="32"/>
          <w:lang w:eastAsia="zh-CN"/>
        </w:rPr>
        <w:t>租赁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20万元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环境提升支持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300万元。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（详见下表）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right="0" w:rightChars="0" w:firstLine="64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八卦岭片区产业空间供给侧改革专项措施匡算表</w:t>
      </w:r>
    </w:p>
    <w:tbl>
      <w:tblPr>
        <w:tblStyle w:val="7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006"/>
        <w:gridCol w:w="171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匡算项目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匡算数量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匡算金额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运营机构租金支持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3240万元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先进制造和军民融合企业租金支持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5项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720万元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运营机构装修支持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运营支持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10项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统租整栋楼宇支持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4项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业主租赁支持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5项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环境提升支持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2项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32项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6420万元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四、发文方式</w:t>
      </w:r>
    </w:p>
    <w:p>
      <w:pPr>
        <w:pStyle w:val="4"/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《八卦岭片区产业空间供给侧改革专项措施》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为阶段性临时措施，现提请区政府常务会议审定通过后，以区委区府办的名义发文。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4" w:leftChars="0" w:right="0" w:rightChars="0" w:firstLine="633" w:firstLineChars="198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福田区经济促进局                            2018年10月8日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_x0013_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B5F5"/>
    <w:multiLevelType w:val="singleLevel"/>
    <w:tmpl w:val="5A7EB5F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EBA4B"/>
    <w:multiLevelType w:val="singleLevel"/>
    <w:tmpl w:val="5A7EBA4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7D0F"/>
    <w:rsid w:val="04787EAA"/>
    <w:rsid w:val="05ED59D8"/>
    <w:rsid w:val="070C5B45"/>
    <w:rsid w:val="08F9650F"/>
    <w:rsid w:val="0B1756A9"/>
    <w:rsid w:val="0B751613"/>
    <w:rsid w:val="0B971E89"/>
    <w:rsid w:val="0C9600B8"/>
    <w:rsid w:val="0ECD7F2D"/>
    <w:rsid w:val="11177678"/>
    <w:rsid w:val="114B0A34"/>
    <w:rsid w:val="121F7C0D"/>
    <w:rsid w:val="128A620A"/>
    <w:rsid w:val="12F65B5D"/>
    <w:rsid w:val="136526EC"/>
    <w:rsid w:val="13B56CA9"/>
    <w:rsid w:val="157919E6"/>
    <w:rsid w:val="16171DAB"/>
    <w:rsid w:val="18BE4BCA"/>
    <w:rsid w:val="18ED1981"/>
    <w:rsid w:val="18EE580F"/>
    <w:rsid w:val="1B31264A"/>
    <w:rsid w:val="1B8229E8"/>
    <w:rsid w:val="1C5068CB"/>
    <w:rsid w:val="1D145C7A"/>
    <w:rsid w:val="1E4456FF"/>
    <w:rsid w:val="21A75BDF"/>
    <w:rsid w:val="25CA3A38"/>
    <w:rsid w:val="25EF176B"/>
    <w:rsid w:val="25F6607E"/>
    <w:rsid w:val="29354565"/>
    <w:rsid w:val="29464D1E"/>
    <w:rsid w:val="29CD5008"/>
    <w:rsid w:val="2B363A77"/>
    <w:rsid w:val="2D8F2AA8"/>
    <w:rsid w:val="2DCA2869"/>
    <w:rsid w:val="2E9F78B7"/>
    <w:rsid w:val="2EA039BA"/>
    <w:rsid w:val="2EC4069F"/>
    <w:rsid w:val="2F290001"/>
    <w:rsid w:val="310F6420"/>
    <w:rsid w:val="32C00084"/>
    <w:rsid w:val="339B54CB"/>
    <w:rsid w:val="3527064D"/>
    <w:rsid w:val="35544266"/>
    <w:rsid w:val="35C60396"/>
    <w:rsid w:val="388579A5"/>
    <w:rsid w:val="3AD849A7"/>
    <w:rsid w:val="3D012624"/>
    <w:rsid w:val="4143152D"/>
    <w:rsid w:val="42B260CE"/>
    <w:rsid w:val="44815D3E"/>
    <w:rsid w:val="44FD2E4E"/>
    <w:rsid w:val="45C00F73"/>
    <w:rsid w:val="47F51B03"/>
    <w:rsid w:val="481251EF"/>
    <w:rsid w:val="49306936"/>
    <w:rsid w:val="4B7C6DC4"/>
    <w:rsid w:val="4DC60F1E"/>
    <w:rsid w:val="5128274B"/>
    <w:rsid w:val="53380A88"/>
    <w:rsid w:val="53D0437E"/>
    <w:rsid w:val="55FC1A2E"/>
    <w:rsid w:val="56BD374C"/>
    <w:rsid w:val="57ED61F5"/>
    <w:rsid w:val="582957F6"/>
    <w:rsid w:val="5831061C"/>
    <w:rsid w:val="59882882"/>
    <w:rsid w:val="59E42D36"/>
    <w:rsid w:val="5B0D56EA"/>
    <w:rsid w:val="5B4E5355"/>
    <w:rsid w:val="5C9A006E"/>
    <w:rsid w:val="5D212EFB"/>
    <w:rsid w:val="5DB435F0"/>
    <w:rsid w:val="5EA533F8"/>
    <w:rsid w:val="5EB84C7C"/>
    <w:rsid w:val="621C7166"/>
    <w:rsid w:val="62DC340D"/>
    <w:rsid w:val="643B4A2A"/>
    <w:rsid w:val="65B57E48"/>
    <w:rsid w:val="65CF5518"/>
    <w:rsid w:val="66160831"/>
    <w:rsid w:val="66C83D4E"/>
    <w:rsid w:val="68C35991"/>
    <w:rsid w:val="6B5C3C84"/>
    <w:rsid w:val="6EBD2830"/>
    <w:rsid w:val="6EE33B26"/>
    <w:rsid w:val="6F86393F"/>
    <w:rsid w:val="704C76A0"/>
    <w:rsid w:val="72534D21"/>
    <w:rsid w:val="73A24293"/>
    <w:rsid w:val="76A027C1"/>
    <w:rsid w:val="7A260A57"/>
    <w:rsid w:val="7AB93ABD"/>
    <w:rsid w:val="7B3D102B"/>
    <w:rsid w:val="7B9344D2"/>
    <w:rsid w:val="7BB62A29"/>
    <w:rsid w:val="7F2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范大江</cp:lastModifiedBy>
  <cp:lastPrinted>2018-10-10T06:14:00Z</cp:lastPrinted>
  <dcterms:modified xsi:type="dcterms:W3CDTF">2018-10-10T11:21:27Z</dcterms:modified>
  <dc:title>《深圳市福田区支持专业服务业发展若干政策》的起草说明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