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/>
        <w:jc w:val="center"/>
        <w:textAlignment w:val="baseline"/>
        <w:outlineLvl w:val="9"/>
        <w:rPr>
          <w:rFonts w:ascii="方正小标宋_GBK" w:hAnsi="方正小标宋_GBK" w:eastAsia="方正小标宋_GBK" w:cs="方正小标宋_GBK"/>
          <w:bCs/>
          <w:spacing w:val="-20"/>
          <w:sz w:val="44"/>
        </w:rPr>
      </w:pPr>
      <w:r>
        <w:rPr>
          <w:rFonts w:ascii="方正小标宋_GBK" w:hAnsi="方正小标宋_GBK" w:eastAsia="方正小标宋_GBK" w:cs="方正小标宋_GBK"/>
          <w:bCs/>
          <w:spacing w:val="-20"/>
          <w:sz w:val="44"/>
        </w:rPr>
        <w:t>《</w:t>
      </w: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福田区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</w:rPr>
        <w:t>政府采购档案管理暂行办法</w:t>
      </w:r>
      <w:r>
        <w:rPr>
          <w:rFonts w:ascii="方正小标宋_GBK" w:hAnsi="方正小标宋_GBK" w:eastAsia="方正小标宋_GBK" w:cs="方正小标宋_GBK"/>
          <w:bCs/>
          <w:spacing w:val="-20"/>
          <w:sz w:val="44"/>
        </w:rPr>
        <w:t>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/>
        <w:jc w:val="center"/>
        <w:textAlignment w:val="baseline"/>
        <w:outlineLvl w:val="9"/>
        <w:rPr>
          <w:rFonts w:ascii="方正小标宋_GBK" w:hAns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lang w:val="zh-CN"/>
        </w:rPr>
        <w:t>起草说明</w:t>
      </w:r>
    </w:p>
    <w:bookmarkEnd w:id="0"/>
    <w:p>
      <w:pPr>
        <w:widowControl/>
        <w:snapToGrid w:val="0"/>
        <w:spacing w:beforeLines="0" w:afterLines="0" w:line="579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政府采购档案管理，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明确采购人、集中采购机构、采购社会代理机构的责任，确保政府采购项目档案的完整与规范，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结合我区实际，拟定了《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福田区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政府采购档案管理暂行办法》（以下简称《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暂行办法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》）。</w:t>
      </w:r>
    </w:p>
    <w:p>
      <w:pPr>
        <w:pStyle w:val="7"/>
        <w:numPr>
          <w:ilvl w:val="0"/>
          <w:numId w:val="1"/>
        </w:numPr>
        <w:snapToGrid w:val="0"/>
        <w:spacing w:beforeLines="0" w:afterLines="0" w:line="579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必要性</w:t>
      </w:r>
    </w:p>
    <w:p>
      <w:pPr>
        <w:pStyle w:val="7"/>
        <w:snapToGrid w:val="0"/>
        <w:spacing w:beforeLines="0" w:afterLines="0" w:line="579" w:lineRule="exact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ascii="黑体" w:hAnsi="黑体" w:eastAsia="黑体" w:cs="黑体"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（一）根据上级法律法规的要求。</w:t>
      </w:r>
    </w:p>
    <w:p>
      <w:pPr>
        <w:pStyle w:val="7"/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根据《中华人民共和国政府采购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法》第四十二条第二款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“采购文件应包括采购活动记录、采购预算、招标文件、投标文件、评标标准、评估报告、定标文件、合同文本、验收证明、质疑答复、投诉处理决定及其他有关文件、资料”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《政府采购代理机构管理暂行办法》（财库[2018]2号）第七十六条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“采购人、采购代理机构应当建立真实完整的招标采购档案，妥善保存每项采购活动的采购文件”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的要求，我区应当加强政府采购档案的细化管理。</w:t>
      </w:r>
    </w:p>
    <w:p>
      <w:pPr>
        <w:pStyle w:val="7"/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（二）填补我区政府采购档案管理的空白。</w:t>
      </w:r>
    </w:p>
    <w:p>
      <w:pPr>
        <w:pStyle w:val="7"/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一直以来，我区未制定专门的政府采购档案管理办法，因此全区未形成统一、规范的管理体系。2018年在我局对全区采购单位进行检查时发现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各单位在采购项目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档案归档方面都存在档案材料不全和档案整理不规范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档案中无招标文件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无履约验收材料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、无公示信息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装订成册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等问题。因此，为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有效确保政府采购档案管理的完整和规范，需要拟定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暂行办法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7"/>
        <w:numPr>
          <w:ilvl w:val="0"/>
          <w:numId w:val="0"/>
        </w:numPr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（三）有利于提升政府采购管理整体水平。</w:t>
      </w:r>
    </w:p>
    <w:p>
      <w:pPr>
        <w:pStyle w:val="7"/>
        <w:snapToGrid w:val="0"/>
        <w:spacing w:beforeLines="0" w:afterLines="0" w:line="579" w:lineRule="exact"/>
        <w:ind w:firstLine="642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政府采购档案的规范管理状况将直接关系到政府采购工作的质量。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有效的政府采购档案管理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可以解决政府采购中一些有争议的问题，并且可以为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instrText xml:space="preserve"> HYPERLINK "https://www.lunwendata.com/thesis/List_87.html" \o "统计论文" \t "https://www.lunwendata.com/thesis/2017/_blank"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统计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归档提供有力的依据。同时，政府采购档案的规范管理，可以做到采购过程有据可查，为反腐倡廉以及加强政府的管理工作提供依据。</w:t>
      </w:r>
    </w:p>
    <w:p>
      <w:pPr>
        <w:pStyle w:val="7"/>
        <w:numPr>
          <w:ilvl w:val="0"/>
          <w:numId w:val="1"/>
        </w:numPr>
        <w:snapToGrid w:val="0"/>
        <w:spacing w:beforeLines="0" w:afterLines="0"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制度依据</w:t>
      </w:r>
    </w:p>
    <w:p>
      <w:pPr>
        <w:pStyle w:val="7"/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根据《中华人民共和国政府采购法》、《中华人民共和国档案法》、《政府采购代理机构管理暂行办法》、《深圳经济特区政府采购条例》制定了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暂行办法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7"/>
        <w:numPr>
          <w:ilvl w:val="0"/>
          <w:numId w:val="1"/>
        </w:numPr>
        <w:snapToGrid w:val="0"/>
        <w:spacing w:beforeLines="0" w:afterLines="0"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主要内容</w:t>
      </w:r>
    </w:p>
    <w:p>
      <w:pPr>
        <w:pStyle w:val="7"/>
        <w:numPr>
          <w:ilvl w:val="0"/>
          <w:numId w:val="0"/>
        </w:numPr>
        <w:snapToGrid w:val="0"/>
        <w:spacing w:beforeLines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《暂行办法》共六章二十二条，主要包括内容：第一章总则、第二章政府采购档案的内容和范围、第三章政府采购档案收集、整理与保管，第四章政府采购档案的使用、移交与销毁，第五章监督检查与法律责任，第六章附则。</w:t>
      </w:r>
    </w:p>
    <w:p>
      <w:pPr>
        <w:pStyle w:val="7"/>
        <w:numPr>
          <w:ilvl w:val="0"/>
          <w:numId w:val="1"/>
        </w:numPr>
        <w:snapToGrid w:val="0"/>
        <w:spacing w:beforeLines="0" w:afterLines="0" w:line="579" w:lineRule="exact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其他</w:t>
      </w:r>
    </w:p>
    <w:p>
      <w:pPr>
        <w:pStyle w:val="7"/>
        <w:numPr>
          <w:ilvl w:val="0"/>
          <w:numId w:val="0"/>
        </w:numPr>
        <w:snapToGrid w:val="0"/>
        <w:spacing w:beforeLines="0" w:afterLines="0" w:line="579" w:lineRule="exact"/>
        <w:ind w:firstLine="0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   《暂行办法》拟作为规范性文件，呈报区政府同意后由我局印发，有效期三年。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0F16"/>
    <w:multiLevelType w:val="singleLevel"/>
    <w:tmpl w:val="5C860F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5E4D"/>
    <w:rsid w:val="0C9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0"/>
    <w:basedOn w:val="1"/>
    <w:qFormat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2019-04-30T03:50:00Z</dcterms:created>
  <dc:creator>阿肥一级棒</dc:creator>
  <cp:lastModifiedBy>阿肥一级棒</cp:lastModifiedBy>
  <dcterms:modified xsi:type="dcterms:W3CDTF">2019-04-30T03:51:32Z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