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深圳市福田区支持车公庙片区产业空间供给侧发展若干措施</w:t>
      </w:r>
    </w:p>
    <w:p>
      <w:pPr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（征求意见稿）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ind w:firstLine="643" w:firstLineChars="200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第一条【宗旨】</w:t>
      </w:r>
      <w:r>
        <w:rPr>
          <w:rFonts w:hint="eastAsia" w:ascii="仿宋" w:hAnsi="仿宋" w:eastAsia="仿宋"/>
          <w:color w:val="auto"/>
          <w:sz w:val="32"/>
          <w:szCs w:val="32"/>
        </w:rPr>
        <w:t>为加快推进时尚产业发展，促进车公庙片区更新发展，降低企业成本，加快产业集聚，根据《深圳市福田区产业发展专项资金管理办法》，制定本措施。</w:t>
      </w:r>
    </w:p>
    <w:p>
      <w:pPr>
        <w:ind w:firstLine="643" w:firstLineChars="200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第二条【支持对象】</w:t>
      </w:r>
      <w:r>
        <w:rPr>
          <w:rFonts w:hint="eastAsia" w:ascii="仿宋" w:hAnsi="仿宋" w:eastAsia="仿宋"/>
          <w:color w:val="auto"/>
          <w:sz w:val="32"/>
          <w:szCs w:val="32"/>
        </w:rPr>
        <w:t>本措施适用于注册登记、税务和统计关系在福田区，具有独立法人资格、健全财务制度、实行独立核算的文化时尚企业及民管注册地址在福田辖区内、具有法人资格的相关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社会团体</w:t>
      </w:r>
      <w:r>
        <w:rPr>
          <w:rFonts w:hint="eastAsia" w:ascii="仿宋" w:hAnsi="仿宋" w:eastAsia="仿宋"/>
          <w:color w:val="auto"/>
          <w:sz w:val="32"/>
          <w:szCs w:val="32"/>
        </w:rPr>
        <w:t>等。</w:t>
      </w:r>
      <w:r>
        <w:rPr>
          <w:rFonts w:hint="eastAsia" w:ascii="仿宋" w:hAnsi="仿宋" w:eastAsia="仿宋"/>
          <w:color w:val="auto"/>
          <w:sz w:val="32"/>
          <w:szCs w:val="32"/>
        </w:rPr>
        <w:t>重点支持时装、服饰、内衣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珠宝、钟表、化妆品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等时尚企业</w:t>
      </w:r>
      <w:r>
        <w:rPr>
          <w:rFonts w:hint="eastAsia" w:ascii="仿宋" w:hAnsi="仿宋" w:eastAsia="仿宋"/>
          <w:color w:val="auto"/>
          <w:sz w:val="32"/>
          <w:szCs w:val="32"/>
        </w:rPr>
        <w:t>及相关时尚价值链。</w:t>
      </w:r>
    </w:p>
    <w:p>
      <w:pPr>
        <w:ind w:firstLine="643" w:firstLineChars="200"/>
        <w:jc w:val="left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第三条【适用范围】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车</w:t>
      </w:r>
      <w:r>
        <w:rPr>
          <w:rFonts w:hint="eastAsia" w:ascii="仿宋" w:hAnsi="仿宋" w:eastAsia="仿宋"/>
          <w:color w:val="auto"/>
          <w:sz w:val="32"/>
          <w:szCs w:val="32"/>
        </w:rPr>
        <w:t>公庙片区的适用范围为深南大道、广深高速公路、滨河大道、泰然一路围合区域的政府物业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经区政府认定的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围合区域内及周边的</w:t>
      </w:r>
      <w:r>
        <w:rPr>
          <w:rFonts w:hint="eastAsia" w:ascii="仿宋" w:hAnsi="仿宋" w:eastAsia="仿宋"/>
          <w:color w:val="auto"/>
          <w:sz w:val="32"/>
          <w:szCs w:val="32"/>
        </w:rPr>
        <w:t>社会物业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等。</w:t>
      </w:r>
    </w:p>
    <w:p>
      <w:pPr>
        <w:ind w:firstLine="643" w:firstLineChars="200"/>
        <w:jc w:val="left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第四条【政府物业租金优惠支持】</w:t>
      </w:r>
    </w:p>
    <w:p>
      <w:pPr>
        <w:ind w:firstLine="640" w:firstLineChars="200"/>
        <w:jc w:val="left"/>
        <w:rPr>
          <w:rFonts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（一）对于入驻政府物业的企业总部，根据其综合贡献，按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当年</w:t>
      </w:r>
      <w:r>
        <w:rPr>
          <w:rFonts w:hint="eastAsia" w:ascii="仿宋" w:hAnsi="仿宋" w:eastAsia="仿宋"/>
          <w:color w:val="auto"/>
          <w:sz w:val="32"/>
          <w:szCs w:val="32"/>
        </w:rPr>
        <w:t>市场评估价的5</w:t>
      </w:r>
      <w:r>
        <w:rPr>
          <w:rFonts w:ascii="仿宋" w:hAnsi="仿宋" w:eastAsia="仿宋"/>
          <w:color w:val="auto"/>
          <w:sz w:val="32"/>
          <w:szCs w:val="32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%-</w:t>
      </w:r>
      <w:r>
        <w:rPr>
          <w:rFonts w:ascii="仿宋" w:hAnsi="仿宋" w:eastAsia="仿宋"/>
          <w:color w:val="auto"/>
          <w:sz w:val="32"/>
          <w:szCs w:val="32"/>
        </w:rPr>
        <w:t>70</w:t>
      </w:r>
      <w:r>
        <w:rPr>
          <w:rFonts w:hint="eastAsia" w:ascii="仿宋" w:hAnsi="仿宋" w:eastAsia="仿宋"/>
          <w:color w:val="auto"/>
          <w:sz w:val="32"/>
          <w:szCs w:val="32"/>
        </w:rPr>
        <w:t>%为基准予以租赁，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支持年限三年，每家企业支持面积最大不超过1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5000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平方米。</w:t>
      </w:r>
    </w:p>
    <w:p>
      <w:pPr>
        <w:ind w:firstLine="640" w:firstLineChars="200"/>
        <w:jc w:val="left"/>
        <w:rPr>
          <w:rFonts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（二）对于入驻政府物业具有国际影响力的独立设计师品牌，按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当年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市场评估价的5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0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%为基准予以租赁，支持年限三年，每个独立设计师品牌支持面积最大不超过1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000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平方米。</w:t>
      </w:r>
    </w:p>
    <w:p>
      <w:pPr>
        <w:ind w:firstLine="640" w:firstLineChars="200"/>
        <w:jc w:val="left"/>
        <w:rPr>
          <w:rFonts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（三）对于入驻政府物业的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设计师</w:t>
      </w:r>
      <w:r>
        <w:rPr>
          <w:rFonts w:hint="eastAsia" w:ascii="仿宋" w:hAnsi="仿宋" w:eastAsia="仿宋"/>
          <w:color w:val="auto"/>
          <w:sz w:val="32"/>
          <w:szCs w:val="32"/>
        </w:rPr>
        <w:t>订货平台，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根据其交易额，第一年按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当年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市场评估价的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30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%为基准予以租赁，第二年按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当年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市场评估价的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40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%为基准予以租赁，第三年按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当年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市场评估价的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50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%为基准予以租赁，支持年限三年，每个订货平台支持面积最大不超过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1000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平方米。</w:t>
      </w:r>
    </w:p>
    <w:p>
      <w:pPr>
        <w:ind w:firstLine="640" w:firstLineChars="200"/>
        <w:jc w:val="left"/>
        <w:rPr>
          <w:rFonts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（四）对于入驻政府物业的国际时尚媒体，给与免租金支持，支持年限三年，每家时尚媒体支持面积最大不超过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300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平方米。</w:t>
      </w:r>
    </w:p>
    <w:p>
      <w:pPr>
        <w:ind w:firstLine="640" w:firstLineChars="200"/>
        <w:jc w:val="left"/>
        <w:rPr>
          <w:rFonts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（五）对于入驻政府物业的时尚资本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、人才培训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等相关时尚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价值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链企业，按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当年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市场评估价的7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0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%为基准予以租赁，支持年限三年，每家企业支持面积最大不超过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300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平方米。</w:t>
      </w:r>
    </w:p>
    <w:p>
      <w:pPr>
        <w:ind w:firstLine="643" w:firstLineChars="200"/>
        <w:jc w:val="left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第五条【社会物业租金支持】</w:t>
      </w:r>
    </w:p>
    <w:p>
      <w:pPr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color w:val="auto"/>
          <w:sz w:val="32"/>
          <w:szCs w:val="32"/>
        </w:rPr>
        <w:t>对于入驻车公庙片区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甲级写字楼</w:t>
      </w:r>
      <w:r>
        <w:rPr>
          <w:rFonts w:hint="eastAsia" w:ascii="仿宋" w:hAnsi="仿宋" w:eastAsia="仿宋"/>
          <w:color w:val="auto"/>
          <w:sz w:val="32"/>
          <w:szCs w:val="32"/>
        </w:rPr>
        <w:t>的企业及相关社会组织，按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每月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0元/平方米的标准</w:t>
      </w:r>
      <w:r>
        <w:rPr>
          <w:rFonts w:hint="eastAsia" w:ascii="仿宋" w:hAnsi="仿宋" w:eastAsia="仿宋"/>
          <w:color w:val="auto"/>
          <w:sz w:val="32"/>
          <w:szCs w:val="32"/>
        </w:rPr>
        <w:t>，在支付上一年度租金后给予支持，支持年限三年。根据其综合贡献分档给予支持，支持面积最大不超过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color w:val="auto"/>
          <w:sz w:val="32"/>
          <w:szCs w:val="32"/>
        </w:rPr>
        <w:t>000</w:t>
      </w:r>
      <w:r>
        <w:rPr>
          <w:rFonts w:hint="eastAsia" w:ascii="仿宋" w:hAnsi="仿宋" w:eastAsia="仿宋"/>
          <w:color w:val="auto"/>
          <w:sz w:val="32"/>
          <w:szCs w:val="32"/>
        </w:rPr>
        <w:t>平方米。</w:t>
      </w:r>
    </w:p>
    <w:p>
      <w:pPr>
        <w:ind w:firstLine="640" w:firstLineChars="200"/>
        <w:jc w:val="left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color w:val="auto"/>
          <w:sz w:val="32"/>
          <w:szCs w:val="32"/>
        </w:rPr>
        <w:t>对于入驻车公庙片区社会物业的企业及相关社会组织，按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每月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0元/平方米的标准</w:t>
      </w:r>
      <w:r>
        <w:rPr>
          <w:rFonts w:hint="eastAsia" w:ascii="仿宋" w:hAnsi="仿宋" w:eastAsia="仿宋"/>
          <w:color w:val="auto"/>
          <w:sz w:val="32"/>
          <w:szCs w:val="32"/>
        </w:rPr>
        <w:t>，在支付上一年度租金后给予支持，支持年限三年。根据其综合贡献分档给予支持，支持面积最大不超过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color w:val="auto"/>
          <w:sz w:val="32"/>
          <w:szCs w:val="32"/>
        </w:rPr>
        <w:t>000</w:t>
      </w:r>
      <w:r>
        <w:rPr>
          <w:rFonts w:hint="eastAsia" w:ascii="仿宋" w:hAnsi="仿宋" w:eastAsia="仿宋"/>
          <w:color w:val="auto"/>
          <w:sz w:val="32"/>
          <w:szCs w:val="32"/>
        </w:rPr>
        <w:t>平方米。</w:t>
      </w:r>
    </w:p>
    <w:p>
      <w:pPr>
        <w:ind w:firstLine="643" w:firstLineChars="200"/>
        <w:jc w:val="lef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第六条【办公用房购置支持】</w:t>
      </w:r>
      <w:r>
        <w:rPr>
          <w:rFonts w:hint="eastAsia" w:ascii="仿宋" w:hAnsi="仿宋" w:eastAsia="仿宋"/>
          <w:color w:val="auto"/>
          <w:sz w:val="32"/>
          <w:szCs w:val="32"/>
        </w:rPr>
        <w:t>对符合条件的时尚企业在车公庙片区新购置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社会物业作为</w:t>
      </w:r>
      <w:r>
        <w:rPr>
          <w:rFonts w:hint="eastAsia" w:ascii="仿宋" w:hAnsi="仿宋" w:eastAsia="仿宋"/>
          <w:color w:val="auto"/>
          <w:sz w:val="32"/>
          <w:szCs w:val="32"/>
        </w:rPr>
        <w:t>自用办公用房（不含附属和配套用房的），按实际购房价格1</w:t>
      </w:r>
      <w:r>
        <w:rPr>
          <w:rFonts w:ascii="仿宋" w:hAnsi="仿宋" w:eastAsia="仿宋"/>
          <w:color w:val="auto"/>
          <w:sz w:val="32"/>
          <w:szCs w:val="32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%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，给予不超过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3000万元的支持，分三年支付。获得支持的办公用房5年内不得对外租售，否则需返还已拨付的产业资金。</w:t>
      </w:r>
    </w:p>
    <w:p>
      <w:pPr>
        <w:ind w:firstLine="643" w:firstLineChars="200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第七条【人才住房支持】</w:t>
      </w:r>
      <w:r>
        <w:rPr>
          <w:rFonts w:hint="eastAsia" w:ascii="仿宋" w:hAnsi="仿宋" w:eastAsia="仿宋"/>
          <w:color w:val="auto"/>
          <w:sz w:val="32"/>
          <w:szCs w:val="32"/>
        </w:rPr>
        <w:t>对入驻车公庙片区的企业，根据企业上一年度在福田区的综合贡献，给予人才住房支持，支持标准按6万元/套/年计算，连续支持三年。</w:t>
      </w:r>
    </w:p>
    <w:p>
      <w:pPr>
        <w:ind w:firstLine="643" w:firstLineChars="200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第八条【引进支持】</w:t>
      </w:r>
      <w:r>
        <w:rPr>
          <w:rFonts w:hint="eastAsia" w:ascii="仿宋" w:hAnsi="仿宋" w:eastAsia="仿宋"/>
          <w:color w:val="auto"/>
          <w:sz w:val="32"/>
          <w:szCs w:val="32"/>
        </w:rPr>
        <w:t>支持企业、社会组织引进符合车公庙片区发展需求的企业新落户车公庙片区，经区政府认可的，每引进一家企业给予最高不超过5</w:t>
      </w:r>
      <w:r>
        <w:rPr>
          <w:rFonts w:ascii="仿宋" w:hAnsi="仿宋" w:eastAsia="仿宋"/>
          <w:color w:val="auto"/>
          <w:sz w:val="32"/>
          <w:szCs w:val="32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万元支持，引进多家可累积计算，每年最高不超过3</w:t>
      </w:r>
      <w:r>
        <w:rPr>
          <w:rFonts w:ascii="仿宋" w:hAnsi="仿宋" w:eastAsia="仿宋"/>
          <w:color w:val="auto"/>
          <w:sz w:val="32"/>
          <w:szCs w:val="32"/>
        </w:rPr>
        <w:t>00</w:t>
      </w:r>
      <w:r>
        <w:rPr>
          <w:rFonts w:hint="eastAsia" w:ascii="仿宋" w:hAnsi="仿宋" w:eastAsia="仿宋"/>
          <w:color w:val="auto"/>
          <w:sz w:val="32"/>
          <w:szCs w:val="32"/>
        </w:rPr>
        <w:t>万元。</w:t>
      </w:r>
    </w:p>
    <w:p>
      <w:pPr>
        <w:ind w:firstLine="643" w:firstLineChars="200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第九条【时尚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生活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空间建设支持】</w:t>
      </w:r>
      <w:r>
        <w:rPr>
          <w:rFonts w:hint="eastAsia" w:ascii="仿宋" w:hAnsi="仿宋" w:eastAsia="仿宋"/>
          <w:color w:val="auto"/>
          <w:sz w:val="32"/>
          <w:szCs w:val="32"/>
        </w:rPr>
        <w:t>经区政府审核同意，在车公庙片区建设时尚体验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馆、生活馆</w:t>
      </w:r>
      <w:r>
        <w:rPr>
          <w:rFonts w:hint="eastAsia" w:ascii="仿宋" w:hAnsi="仿宋" w:eastAsia="仿宋"/>
          <w:color w:val="auto"/>
          <w:sz w:val="32"/>
          <w:szCs w:val="32"/>
        </w:rPr>
        <w:t>等，由专业机构进行审计，按照项目实际投资额的5</w:t>
      </w:r>
      <w:r>
        <w:rPr>
          <w:rFonts w:ascii="仿宋" w:hAnsi="仿宋" w:eastAsia="仿宋"/>
          <w:color w:val="auto"/>
          <w:sz w:val="32"/>
          <w:szCs w:val="32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%给予一次性支持，每个项目支持金额最高不超过</w:t>
      </w:r>
      <w:r>
        <w:rPr>
          <w:rFonts w:ascii="仿宋" w:hAnsi="仿宋" w:eastAsia="仿宋"/>
          <w:color w:val="auto"/>
          <w:sz w:val="32"/>
          <w:szCs w:val="32"/>
        </w:rPr>
        <w:t>300</w:t>
      </w:r>
      <w:r>
        <w:rPr>
          <w:rFonts w:hint="eastAsia" w:ascii="仿宋" w:hAnsi="仿宋" w:eastAsia="仿宋"/>
          <w:color w:val="auto"/>
          <w:sz w:val="32"/>
          <w:szCs w:val="32"/>
        </w:rPr>
        <w:t>万元。</w:t>
      </w:r>
    </w:p>
    <w:p>
      <w:pPr>
        <w:ind w:firstLine="643" w:firstLineChars="200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第十条【公共艺术空间建设支持】</w:t>
      </w:r>
      <w:r>
        <w:rPr>
          <w:rFonts w:hint="eastAsia" w:ascii="仿宋" w:hAnsi="仿宋" w:eastAsia="仿宋"/>
          <w:color w:val="auto"/>
          <w:sz w:val="32"/>
          <w:szCs w:val="32"/>
        </w:rPr>
        <w:t>经区政府审核同意，在车公庙片区建设公共艺术空间，由专业机构进行审计，按照项目实际投资额的5</w:t>
      </w:r>
      <w:r>
        <w:rPr>
          <w:rFonts w:ascii="仿宋" w:hAnsi="仿宋" w:eastAsia="仿宋"/>
          <w:color w:val="auto"/>
          <w:sz w:val="32"/>
          <w:szCs w:val="32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%给予一次性支持，每个项目支持金额最高不超过5</w:t>
      </w:r>
      <w:r>
        <w:rPr>
          <w:rFonts w:ascii="仿宋" w:hAnsi="仿宋" w:eastAsia="仿宋"/>
          <w:color w:val="auto"/>
          <w:sz w:val="32"/>
          <w:szCs w:val="32"/>
        </w:rPr>
        <w:t>00</w:t>
      </w:r>
      <w:r>
        <w:rPr>
          <w:rFonts w:hint="eastAsia" w:ascii="仿宋" w:hAnsi="仿宋" w:eastAsia="仿宋"/>
          <w:color w:val="auto"/>
          <w:sz w:val="32"/>
          <w:szCs w:val="32"/>
        </w:rPr>
        <w:t>万元。</w:t>
      </w:r>
    </w:p>
    <w:p>
      <w:pPr>
        <w:ind w:firstLine="643" w:firstLineChars="200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第十一条【重大项目支持】</w:t>
      </w:r>
      <w:r>
        <w:rPr>
          <w:rFonts w:hint="eastAsia" w:ascii="仿宋" w:hAnsi="仿宋" w:eastAsia="仿宋"/>
          <w:color w:val="auto"/>
          <w:sz w:val="32"/>
          <w:szCs w:val="32"/>
        </w:rPr>
        <w:t>对特别重大的项目，可采取“一事一议”方式提交区产业发展专项资金联审委员会审定。</w:t>
      </w:r>
    </w:p>
    <w:p>
      <w:pPr>
        <w:ind w:firstLine="643" w:firstLineChars="200"/>
        <w:jc w:val="left"/>
        <w:rPr>
          <w:rFonts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第十二条【限制和除外</w:t>
      </w:r>
      <w:bookmarkStart w:id="0" w:name="_GoBack"/>
      <w:bookmarkEnd w:id="0"/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情形】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本措施对同一企业年度支持总额不超过其上一年度在福田综合贡献。企业同一项目已获区政府其他政策支持的，本措施不重复支持。</w:t>
      </w:r>
    </w:p>
    <w:p>
      <w:pPr>
        <w:ind w:firstLine="643" w:firstLineChars="200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第十三条【附则】</w:t>
      </w:r>
      <w:r>
        <w:rPr>
          <w:rFonts w:hint="eastAsia" w:ascii="仿宋" w:hAnsi="仿宋" w:eastAsia="仿宋"/>
          <w:color w:val="auto"/>
          <w:sz w:val="32"/>
          <w:szCs w:val="32"/>
        </w:rPr>
        <w:t>本措施自发布之日起实施，至2</w:t>
      </w:r>
      <w:r>
        <w:rPr>
          <w:rFonts w:ascii="仿宋" w:hAnsi="仿宋" w:eastAsia="仿宋"/>
          <w:color w:val="auto"/>
          <w:sz w:val="32"/>
          <w:szCs w:val="32"/>
        </w:rPr>
        <w:t>020</w:t>
      </w:r>
      <w:r>
        <w:rPr>
          <w:rFonts w:hint="eastAsia" w:ascii="仿宋" w:hAnsi="仿宋" w:eastAsia="仿宋"/>
          <w:color w:val="auto"/>
          <w:sz w:val="32"/>
          <w:szCs w:val="32"/>
        </w:rPr>
        <w:t>年1</w:t>
      </w:r>
      <w:r>
        <w:rPr>
          <w:rFonts w:ascii="仿宋" w:hAnsi="仿宋" w:eastAsia="仿宋"/>
          <w:color w:val="auto"/>
          <w:sz w:val="32"/>
          <w:szCs w:val="32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月3</w:t>
      </w:r>
      <w:r>
        <w:rPr>
          <w:rFonts w:ascii="仿宋" w:hAnsi="仿宋" w:eastAsia="仿宋"/>
          <w:color w:val="auto"/>
          <w:sz w:val="32"/>
          <w:szCs w:val="32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日止，由福田区文化广电旅游体育局负责解释。</w:t>
      </w:r>
    </w:p>
    <w:p>
      <w:pPr>
        <w:jc w:val="lef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沧澜楷体">
    <w:altName w:val="宋体"/>
    <w:panose1 w:val="00000000000000000000"/>
    <w:charset w:val="86"/>
    <w:family w:val="auto"/>
    <w:pitch w:val="default"/>
    <w:sig w:usb0="00000000" w:usb1="00000000" w:usb2="00000000" w:usb3="00000000" w:csb0="001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康行楷体 W5">
    <w:altName w:val="宋体"/>
    <w:panose1 w:val="03000509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.PingFang SC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brandon_grotesque_regularRg">
    <w:altName w:val="Cambri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&amp;quot">
    <w:altName w:val="Cambri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quc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c-icon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8468491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27"/>
    <w:rsid w:val="0011435A"/>
    <w:rsid w:val="0011583E"/>
    <w:rsid w:val="00141D1B"/>
    <w:rsid w:val="00143759"/>
    <w:rsid w:val="00162521"/>
    <w:rsid w:val="00170C60"/>
    <w:rsid w:val="00187377"/>
    <w:rsid w:val="001B4B17"/>
    <w:rsid w:val="002334D8"/>
    <w:rsid w:val="00310642"/>
    <w:rsid w:val="00315125"/>
    <w:rsid w:val="00326C73"/>
    <w:rsid w:val="00361E2F"/>
    <w:rsid w:val="00384162"/>
    <w:rsid w:val="00493475"/>
    <w:rsid w:val="00540B6B"/>
    <w:rsid w:val="005A0C75"/>
    <w:rsid w:val="005A6263"/>
    <w:rsid w:val="00666D69"/>
    <w:rsid w:val="006B3F96"/>
    <w:rsid w:val="006F0873"/>
    <w:rsid w:val="00702A18"/>
    <w:rsid w:val="0078152E"/>
    <w:rsid w:val="007B40F6"/>
    <w:rsid w:val="007D5927"/>
    <w:rsid w:val="0084367E"/>
    <w:rsid w:val="008A403E"/>
    <w:rsid w:val="00904AAD"/>
    <w:rsid w:val="00924DA5"/>
    <w:rsid w:val="00993705"/>
    <w:rsid w:val="009D1E90"/>
    <w:rsid w:val="00A85E9A"/>
    <w:rsid w:val="00AC3AEB"/>
    <w:rsid w:val="00B40894"/>
    <w:rsid w:val="00B90895"/>
    <w:rsid w:val="00BF1504"/>
    <w:rsid w:val="00C06BC1"/>
    <w:rsid w:val="00C60F64"/>
    <w:rsid w:val="00CC6A71"/>
    <w:rsid w:val="00D63AE8"/>
    <w:rsid w:val="00E76DD4"/>
    <w:rsid w:val="00EA4081"/>
    <w:rsid w:val="00EA5FD7"/>
    <w:rsid w:val="00EF5A20"/>
    <w:rsid w:val="07654189"/>
    <w:rsid w:val="1AF52C7E"/>
    <w:rsid w:val="2FE609AD"/>
    <w:rsid w:val="32130047"/>
    <w:rsid w:val="33A8793A"/>
    <w:rsid w:val="3C022B60"/>
    <w:rsid w:val="4A2E4071"/>
    <w:rsid w:val="54B826C1"/>
    <w:rsid w:val="5A260486"/>
    <w:rsid w:val="60892FC5"/>
    <w:rsid w:val="733E4B78"/>
    <w:rsid w:val="74C4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236</Words>
  <Characters>1350</Characters>
  <Lines>11</Lines>
  <Paragraphs>3</Paragraphs>
  <ScaleCrop>false</ScaleCrop>
  <LinksUpToDate>false</LinksUpToDate>
  <CharactersWithSpaces>1583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2019-07-03T14:44:00Z</dcterms:created>
  <dc:creator>lpf</dc:creator>
  <cp:lastModifiedBy>null</cp:lastModifiedBy>
  <cp:lastPrinted>2019-07-09T00:40:00Z</cp:lastPrinted>
  <dcterms:modified xsi:type="dcterms:W3CDTF">2019-07-31T02:54:19Z</dcterms:modified>
  <dc:title>深圳市福田区支持车公庙片区产业空间供给侧发展若干措施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