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48" w:rsidRPr="007754DE" w:rsidRDefault="007754DE" w:rsidP="007754DE">
      <w:pPr>
        <w:autoSpaceDE w:val="0"/>
        <w:autoSpaceDN w:val="0"/>
        <w:jc w:val="distribute"/>
        <w:rPr>
          <w:rFonts w:ascii="宋体" w:hAnsi="宋体" w:hint="default"/>
          <w:b/>
          <w:color w:val="FF0000"/>
          <w:sz w:val="72"/>
          <w:u w:val="double"/>
        </w:rPr>
      </w:pPr>
      <w:r>
        <w:rPr>
          <w:rFonts w:ascii="宋体" w:hAnsi="宋体"/>
          <w:b/>
          <w:color w:val="FF0000"/>
          <w:sz w:val="72"/>
          <w:u w:val="double"/>
        </w:rPr>
        <w:t>深圳市福田区统计局</w:t>
      </w:r>
    </w:p>
    <w:p w:rsidR="00DA0748" w:rsidRDefault="00DA0748">
      <w:pPr>
        <w:jc w:val="center"/>
        <w:rPr>
          <w:rFonts w:asciiTheme="majorEastAsia" w:eastAsiaTheme="majorEastAsia" w:hAnsiTheme="majorEastAsia" w:cstheme="majorEastAsia" w:hint="default"/>
          <w:kern w:val="0"/>
          <w:sz w:val="44"/>
          <w:szCs w:val="44"/>
        </w:rPr>
      </w:pPr>
    </w:p>
    <w:p w:rsidR="00DA0748" w:rsidRDefault="007754DE" w:rsidP="00C62842">
      <w:pPr>
        <w:spacing w:line="560" w:lineRule="exact"/>
        <w:jc w:val="center"/>
        <w:rPr>
          <w:rFonts w:asciiTheme="majorEastAsia" w:eastAsiaTheme="majorEastAsia" w:hAnsiTheme="majorEastAsia" w:cstheme="majorEastAsia" w:hint="default"/>
          <w:kern w:val="0"/>
          <w:sz w:val="44"/>
          <w:szCs w:val="44"/>
        </w:rPr>
      </w:pPr>
      <w:r>
        <w:rPr>
          <w:rFonts w:asciiTheme="majorEastAsia" w:eastAsiaTheme="majorEastAsia" w:hAnsiTheme="majorEastAsia" w:cstheme="majorEastAsia"/>
          <w:kern w:val="0"/>
          <w:sz w:val="44"/>
          <w:szCs w:val="44"/>
        </w:rPr>
        <w:t>关于</w:t>
      </w:r>
      <w:r w:rsidR="002E5ABD">
        <w:rPr>
          <w:rFonts w:asciiTheme="majorEastAsia" w:eastAsiaTheme="majorEastAsia" w:hAnsiTheme="majorEastAsia" w:cstheme="majorEastAsia"/>
          <w:kern w:val="0"/>
          <w:sz w:val="44"/>
          <w:szCs w:val="44"/>
        </w:rPr>
        <w:t>对</w:t>
      </w:r>
      <w:r>
        <w:rPr>
          <w:rFonts w:asciiTheme="majorEastAsia" w:eastAsiaTheme="majorEastAsia" w:hAnsiTheme="majorEastAsia" w:cstheme="majorEastAsia"/>
          <w:kern w:val="0"/>
          <w:sz w:val="44"/>
          <w:szCs w:val="44"/>
        </w:rPr>
        <w:t>《关于大力发展福田区专业</w:t>
      </w:r>
    </w:p>
    <w:p w:rsidR="00DA0748" w:rsidRDefault="007754DE" w:rsidP="00C62842">
      <w:pPr>
        <w:spacing w:line="560" w:lineRule="exact"/>
        <w:jc w:val="center"/>
        <w:rPr>
          <w:rFonts w:asciiTheme="majorEastAsia" w:eastAsiaTheme="majorEastAsia" w:hAnsiTheme="majorEastAsia" w:cstheme="majorEastAsia" w:hint="default"/>
          <w:kern w:val="0"/>
          <w:sz w:val="44"/>
          <w:szCs w:val="44"/>
        </w:rPr>
      </w:pPr>
      <w:r>
        <w:rPr>
          <w:rFonts w:asciiTheme="majorEastAsia" w:eastAsiaTheme="majorEastAsia" w:hAnsiTheme="majorEastAsia" w:cstheme="majorEastAsia"/>
          <w:kern w:val="0"/>
          <w:sz w:val="44"/>
          <w:szCs w:val="44"/>
        </w:rPr>
        <w:t>服务业的提案》的回复</w:t>
      </w:r>
    </w:p>
    <w:p w:rsidR="00026C2B" w:rsidRDefault="00026C2B">
      <w:pPr>
        <w:rPr>
          <w:rFonts w:ascii="仿宋_GB2312" w:eastAsia="仿宋_GB2312" w:hAnsi="仿宋" w:hint="default"/>
          <w:kern w:val="0"/>
          <w:sz w:val="32"/>
        </w:rPr>
      </w:pPr>
    </w:p>
    <w:p w:rsidR="00DA0748" w:rsidRDefault="00026C2B" w:rsidP="00026C2B">
      <w:pPr>
        <w:spacing w:line="560" w:lineRule="exact"/>
        <w:rPr>
          <w:rFonts w:ascii="仿宋_GB2312" w:eastAsia="仿宋_GB2312" w:hAnsi="仿宋" w:hint="default"/>
          <w:kern w:val="0"/>
          <w:sz w:val="32"/>
        </w:rPr>
      </w:pPr>
      <w:r>
        <w:rPr>
          <w:rFonts w:ascii="仿宋_GB2312" w:eastAsia="仿宋_GB2312" w:hAnsi="仿宋"/>
          <w:kern w:val="0"/>
          <w:sz w:val="32"/>
        </w:rPr>
        <w:t>尊敬的</w:t>
      </w:r>
      <w:r>
        <w:rPr>
          <w:rFonts w:ascii="仿宋_GB2312" w:eastAsia="仿宋_GB2312" w:hAnsi="仿宋" w:hint="default"/>
          <w:kern w:val="0"/>
          <w:sz w:val="32"/>
        </w:rPr>
        <w:t>各位</w:t>
      </w:r>
      <w:r w:rsidR="00B3573F">
        <w:rPr>
          <w:rFonts w:ascii="仿宋_GB2312" w:eastAsia="仿宋_GB2312" w:hAnsi="仿宋"/>
          <w:kern w:val="0"/>
          <w:sz w:val="32"/>
        </w:rPr>
        <w:t>委员</w:t>
      </w:r>
      <w:r>
        <w:rPr>
          <w:rFonts w:ascii="仿宋_GB2312" w:eastAsia="仿宋_GB2312" w:hAnsi="仿宋"/>
          <w:kern w:val="0"/>
          <w:sz w:val="32"/>
        </w:rPr>
        <w:t>：</w:t>
      </w:r>
    </w:p>
    <w:p w:rsidR="00DD35E0" w:rsidRDefault="00DD35E0" w:rsidP="00DD35E0">
      <w:pPr>
        <w:spacing w:line="560" w:lineRule="exact"/>
        <w:ind w:firstLineChars="200" w:firstLine="640"/>
        <w:rPr>
          <w:rFonts w:ascii="仿宋_GB2312" w:eastAsia="仿宋_GB2312" w:hAnsi="仿宋" w:hint="default"/>
          <w:kern w:val="0"/>
          <w:sz w:val="32"/>
        </w:rPr>
      </w:pPr>
      <w:r w:rsidRPr="00DD35E0">
        <w:rPr>
          <w:rFonts w:ascii="仿宋_GB2312" w:eastAsia="仿宋_GB2312" w:hAnsi="仿宋"/>
          <w:kern w:val="0"/>
          <w:sz w:val="32"/>
        </w:rPr>
        <w:t>专业</w:t>
      </w:r>
      <w:r>
        <w:rPr>
          <w:rFonts w:ascii="仿宋_GB2312" w:eastAsia="仿宋_GB2312" w:hAnsi="仿宋"/>
          <w:kern w:val="0"/>
          <w:sz w:val="32"/>
        </w:rPr>
        <w:t>服务业</w:t>
      </w:r>
      <w:r w:rsidRPr="00DD35E0">
        <w:rPr>
          <w:rFonts w:ascii="仿宋_GB2312" w:eastAsia="仿宋_GB2312" w:hAnsi="仿宋"/>
          <w:kern w:val="0"/>
          <w:sz w:val="32"/>
        </w:rPr>
        <w:t>作为现代产业的重要组成部分,其在拉动经济增长、整合高端资源、提升城市综合竞争力等方面发挥</w:t>
      </w:r>
      <w:r>
        <w:rPr>
          <w:rFonts w:ascii="仿宋_GB2312" w:eastAsia="仿宋_GB2312" w:hAnsi="仿宋"/>
          <w:kern w:val="0"/>
          <w:sz w:val="32"/>
        </w:rPr>
        <w:t>重要</w:t>
      </w:r>
      <w:r w:rsidRPr="00DD35E0">
        <w:rPr>
          <w:rFonts w:ascii="仿宋_GB2312" w:eastAsia="仿宋_GB2312" w:hAnsi="仿宋"/>
          <w:kern w:val="0"/>
          <w:sz w:val="32"/>
        </w:rPr>
        <w:t>作用。在粤港澳大湾区建设的背景下,大力发展专业</w:t>
      </w:r>
      <w:r>
        <w:rPr>
          <w:rFonts w:ascii="仿宋_GB2312" w:eastAsia="仿宋_GB2312" w:hAnsi="仿宋"/>
          <w:kern w:val="0"/>
          <w:sz w:val="32"/>
        </w:rPr>
        <w:t>服务业</w:t>
      </w:r>
      <w:r w:rsidRPr="00DD35E0">
        <w:rPr>
          <w:rFonts w:ascii="仿宋_GB2312" w:eastAsia="仿宋_GB2312" w:hAnsi="仿宋"/>
          <w:kern w:val="0"/>
          <w:sz w:val="32"/>
        </w:rPr>
        <w:t>,这对福田勇当深圳加快建设社会主义现代化先行区的尖兵,率先建设成社会主义现代化典范城区,具有十分重要的战略意义。</w:t>
      </w:r>
      <w:r>
        <w:rPr>
          <w:rFonts w:ascii="仿宋_GB2312" w:eastAsia="仿宋_GB2312" w:hAnsi="仿宋"/>
          <w:kern w:val="0"/>
          <w:sz w:val="32"/>
        </w:rPr>
        <w:t>立足</w:t>
      </w:r>
      <w:r>
        <w:rPr>
          <w:rFonts w:ascii="仿宋_GB2312" w:eastAsia="仿宋_GB2312" w:hAnsi="仿宋" w:hint="default"/>
          <w:kern w:val="0"/>
          <w:sz w:val="32"/>
        </w:rPr>
        <w:t>我局</w:t>
      </w:r>
      <w:r>
        <w:rPr>
          <w:rFonts w:ascii="仿宋_GB2312" w:eastAsia="仿宋_GB2312" w:hAnsi="仿宋"/>
          <w:kern w:val="0"/>
          <w:sz w:val="32"/>
        </w:rPr>
        <w:t>工作职能</w:t>
      </w:r>
      <w:r>
        <w:rPr>
          <w:rFonts w:ascii="仿宋_GB2312" w:eastAsia="仿宋_GB2312" w:hAnsi="仿宋" w:hint="default"/>
          <w:kern w:val="0"/>
          <w:sz w:val="32"/>
        </w:rPr>
        <w:t>，</w:t>
      </w:r>
      <w:r>
        <w:rPr>
          <w:rFonts w:ascii="仿宋_GB2312" w:eastAsia="仿宋_GB2312" w:hAnsi="仿宋"/>
          <w:kern w:val="0"/>
          <w:sz w:val="32"/>
        </w:rPr>
        <w:t>对</w:t>
      </w:r>
      <w:r>
        <w:rPr>
          <w:rFonts w:ascii="仿宋_GB2312" w:eastAsia="仿宋_GB2312" w:hAnsi="仿宋" w:hint="default"/>
          <w:kern w:val="0"/>
          <w:sz w:val="32"/>
        </w:rPr>
        <w:t>《</w:t>
      </w:r>
      <w:r>
        <w:rPr>
          <w:rFonts w:ascii="仿宋_GB2312" w:eastAsia="仿宋_GB2312" w:hAnsi="仿宋"/>
          <w:kern w:val="0"/>
          <w:sz w:val="32"/>
        </w:rPr>
        <w:t>关于大力</w:t>
      </w:r>
      <w:r>
        <w:rPr>
          <w:rFonts w:ascii="仿宋_GB2312" w:eastAsia="仿宋_GB2312" w:hAnsi="仿宋" w:hint="default"/>
          <w:kern w:val="0"/>
          <w:sz w:val="32"/>
        </w:rPr>
        <w:t>发展福田区专业服务业的提案》</w:t>
      </w:r>
      <w:r>
        <w:rPr>
          <w:rFonts w:ascii="仿宋_GB2312" w:eastAsia="仿宋_GB2312" w:hAnsi="仿宋"/>
          <w:kern w:val="0"/>
          <w:sz w:val="32"/>
        </w:rPr>
        <w:t>中</w:t>
      </w:r>
      <w:r>
        <w:rPr>
          <w:rFonts w:ascii="仿宋_GB2312" w:eastAsia="仿宋_GB2312" w:hAnsi="仿宋" w:hint="default"/>
          <w:kern w:val="0"/>
          <w:sz w:val="32"/>
        </w:rPr>
        <w:t>涉及</w:t>
      </w:r>
      <w:r>
        <w:rPr>
          <w:rFonts w:ascii="仿宋_GB2312" w:eastAsia="仿宋_GB2312" w:hAnsi="仿宋"/>
          <w:kern w:val="0"/>
          <w:sz w:val="32"/>
        </w:rPr>
        <w:t>专业</w:t>
      </w:r>
      <w:r>
        <w:rPr>
          <w:rFonts w:ascii="仿宋_GB2312" w:eastAsia="仿宋_GB2312" w:hAnsi="仿宋" w:hint="default"/>
          <w:kern w:val="0"/>
          <w:sz w:val="32"/>
        </w:rPr>
        <w:t>服务业统计部分</w:t>
      </w:r>
      <w:r>
        <w:rPr>
          <w:rFonts w:ascii="仿宋_GB2312" w:eastAsia="仿宋_GB2312" w:hAnsi="仿宋"/>
          <w:kern w:val="0"/>
          <w:sz w:val="32"/>
        </w:rPr>
        <w:t>说明</w:t>
      </w:r>
      <w:r>
        <w:rPr>
          <w:rFonts w:ascii="仿宋_GB2312" w:eastAsia="仿宋_GB2312" w:hAnsi="仿宋" w:hint="default"/>
          <w:kern w:val="0"/>
          <w:sz w:val="32"/>
        </w:rPr>
        <w:t>如下：</w:t>
      </w:r>
    </w:p>
    <w:p w:rsidR="00DA0748" w:rsidRDefault="007754DE" w:rsidP="00C62842">
      <w:pPr>
        <w:spacing w:line="560" w:lineRule="exact"/>
        <w:ind w:firstLineChars="200" w:firstLine="643"/>
        <w:rPr>
          <w:rFonts w:ascii="仿宋_GB2312" w:eastAsia="仿宋_GB2312" w:hAnsi="仿宋" w:hint="default"/>
          <w:kern w:val="0"/>
          <w:sz w:val="32"/>
        </w:rPr>
      </w:pPr>
      <w:r>
        <w:rPr>
          <w:rFonts w:ascii="仿宋_GB2312" w:eastAsia="仿宋_GB2312" w:hAnsi="仿宋"/>
          <w:b/>
          <w:bCs/>
          <w:kern w:val="0"/>
          <w:sz w:val="32"/>
        </w:rPr>
        <w:t>认定方法：</w:t>
      </w:r>
      <w:r>
        <w:rPr>
          <w:rFonts w:ascii="仿宋_GB2312" w:eastAsia="仿宋_GB2312" w:hAnsi="仿宋"/>
          <w:kern w:val="0"/>
          <w:sz w:val="32"/>
        </w:rPr>
        <w:t>依据区工业和信息化局制定的专业服务业产业分类目录，将归入专业服务业分类的行业代码下的企业认定为专业服务业。</w:t>
      </w:r>
    </w:p>
    <w:p w:rsidR="00DA0748" w:rsidRDefault="007754DE" w:rsidP="00C62842">
      <w:pPr>
        <w:spacing w:line="560" w:lineRule="exact"/>
        <w:ind w:firstLineChars="200" w:firstLine="643"/>
        <w:rPr>
          <w:rFonts w:ascii="仿宋_GB2312" w:eastAsia="仿宋_GB2312" w:hAnsi="仿宋" w:hint="default"/>
          <w:kern w:val="0"/>
          <w:sz w:val="32"/>
        </w:rPr>
      </w:pPr>
      <w:r>
        <w:rPr>
          <w:rFonts w:ascii="仿宋_GB2312" w:eastAsia="仿宋_GB2312" w:hAnsi="仿宋"/>
          <w:b/>
          <w:bCs/>
          <w:kern w:val="0"/>
          <w:sz w:val="32"/>
        </w:rPr>
        <w:t>统计范围：</w:t>
      </w:r>
      <w:r>
        <w:rPr>
          <w:rFonts w:ascii="仿宋_GB2312" w:eastAsia="仿宋_GB2312" w:hAnsi="仿宋"/>
          <w:kern w:val="0"/>
          <w:sz w:val="32"/>
        </w:rPr>
        <w:t>参照国内外权威机构对专业服务业的划分和产业发展实际情况，福田区对专业服务业进行了创新性的定义，将专业服务业界定为机构或组织，通过提供专业知识、专业技能和专业方案而发展起来的高度知识密集型、高度顾客定制的专业服务行业，是服务业中的高端产业，具体含商务服务业、研究和试验发展、专业技术服务业、科技推广和应用服务业四大类。包含法律服务、会计，审计及税务服务、</w:t>
      </w:r>
      <w:r>
        <w:rPr>
          <w:rFonts w:ascii="仿宋_GB2312" w:eastAsia="仿宋_GB2312" w:hAnsi="仿宋"/>
          <w:kern w:val="0"/>
          <w:sz w:val="32"/>
        </w:rPr>
        <w:lastRenderedPageBreak/>
        <w:t>专业化设计服务、质检技术及测绘、咨询与调查、人力资源服务、企业管理等。涉及国民经济行业分类中4个行业大类、28个行业中类、92个行业小类。</w:t>
      </w:r>
    </w:p>
    <w:p w:rsidR="00DA0748" w:rsidRDefault="007754DE" w:rsidP="00C62842">
      <w:pPr>
        <w:spacing w:line="560" w:lineRule="exact"/>
        <w:ind w:firstLineChars="200" w:firstLine="643"/>
        <w:rPr>
          <w:rFonts w:ascii="仿宋_GB2312" w:eastAsia="仿宋_GB2312" w:hAnsi="仿宋" w:hint="default"/>
          <w:kern w:val="0"/>
          <w:sz w:val="32"/>
        </w:rPr>
      </w:pPr>
      <w:r>
        <w:rPr>
          <w:rFonts w:ascii="仿宋_GB2312" w:eastAsia="仿宋_GB2312" w:hAnsi="仿宋"/>
          <w:b/>
          <w:bCs/>
          <w:kern w:val="0"/>
          <w:sz w:val="32"/>
        </w:rPr>
        <w:t>统计监测</w:t>
      </w:r>
      <w:r w:rsidR="00DD35E0">
        <w:rPr>
          <w:rFonts w:ascii="仿宋_GB2312" w:eastAsia="仿宋_GB2312" w:hAnsi="仿宋"/>
          <w:b/>
          <w:bCs/>
          <w:kern w:val="0"/>
          <w:sz w:val="32"/>
        </w:rPr>
        <w:t>与</w:t>
      </w:r>
      <w:r w:rsidR="00DD35E0">
        <w:rPr>
          <w:rFonts w:ascii="仿宋_GB2312" w:eastAsia="仿宋_GB2312" w:hAnsi="仿宋" w:hint="default"/>
          <w:b/>
          <w:bCs/>
          <w:kern w:val="0"/>
          <w:sz w:val="32"/>
        </w:rPr>
        <w:t>数据公布</w:t>
      </w:r>
      <w:r>
        <w:rPr>
          <w:rFonts w:ascii="仿宋_GB2312" w:eastAsia="仿宋_GB2312" w:hAnsi="仿宋"/>
          <w:b/>
          <w:bCs/>
          <w:kern w:val="0"/>
          <w:sz w:val="32"/>
        </w:rPr>
        <w:t>：</w:t>
      </w:r>
      <w:r>
        <w:rPr>
          <w:rFonts w:ascii="仿宋_GB2312" w:eastAsia="仿宋_GB2312" w:hAnsi="仿宋"/>
          <w:kern w:val="0"/>
          <w:sz w:val="32"/>
        </w:rPr>
        <w:t>目前我区的专业服务业统计根据国家统计局《规模以上服务业统计报表制度》，利用“国家一套表”系统对纳入专业服务业分类目录的企业进行月度统计数据的收集汇总工作，按年、季度进行增加值核算并在《福田区经济发展数据季报》进行定期公布。</w:t>
      </w:r>
    </w:p>
    <w:p w:rsidR="00DA0748" w:rsidRDefault="007754DE" w:rsidP="00C62842">
      <w:pPr>
        <w:spacing w:line="560" w:lineRule="exact"/>
        <w:ind w:firstLineChars="200" w:firstLine="640"/>
        <w:rPr>
          <w:rFonts w:ascii="仿宋_GB2312" w:eastAsia="仿宋_GB2312" w:hAnsi="仿宋" w:hint="default"/>
          <w:kern w:val="0"/>
          <w:sz w:val="32"/>
        </w:rPr>
      </w:pPr>
      <w:r>
        <w:rPr>
          <w:rFonts w:ascii="仿宋_GB2312" w:eastAsia="仿宋_GB2312" w:hAnsi="仿宋"/>
          <w:kern w:val="0"/>
          <w:sz w:val="32"/>
        </w:rPr>
        <w:t>下一步我局将根据社会和相关单位的需求，在统计法律法规规定的范围内扩大公布的范围和相关数据，望各委员和代表为进一步推动我区专业服务业高质量发展，在统计监测方法和制度完善方面继续提出宝贵建议，我局也将积极</w:t>
      </w:r>
      <w:r w:rsidR="00026C2B">
        <w:rPr>
          <w:rFonts w:ascii="仿宋_GB2312" w:eastAsia="仿宋_GB2312" w:hAnsi="仿宋"/>
          <w:kern w:val="0"/>
          <w:sz w:val="32"/>
        </w:rPr>
        <w:t>与</w:t>
      </w:r>
      <w:r>
        <w:rPr>
          <w:rFonts w:ascii="仿宋_GB2312" w:eastAsia="仿宋_GB2312" w:hAnsi="仿宋"/>
          <w:kern w:val="0"/>
          <w:sz w:val="32"/>
        </w:rPr>
        <w:t>职能部门和上级统计部门协调，使专业服务业统计监测更加科学、合理、准确，推动专业服务业成为我区经济高质量可持续发展的助推器和发力点。</w:t>
      </w:r>
    </w:p>
    <w:p w:rsidR="00026C2B" w:rsidRDefault="00026C2B" w:rsidP="00C62842">
      <w:pPr>
        <w:spacing w:line="560" w:lineRule="exact"/>
        <w:ind w:firstLineChars="200" w:firstLine="640"/>
        <w:rPr>
          <w:rFonts w:ascii="仿宋_GB2312" w:eastAsia="仿宋_GB2312" w:hAnsi="仿宋" w:hint="default"/>
          <w:kern w:val="0"/>
          <w:sz w:val="32"/>
        </w:rPr>
      </w:pPr>
    </w:p>
    <w:p w:rsidR="00026C2B" w:rsidRDefault="00026C2B" w:rsidP="00C62842">
      <w:pPr>
        <w:spacing w:line="560" w:lineRule="exact"/>
        <w:ind w:firstLineChars="200" w:firstLine="640"/>
        <w:rPr>
          <w:rFonts w:ascii="仿宋_GB2312" w:eastAsia="仿宋_GB2312" w:hAnsi="仿宋" w:hint="default"/>
          <w:kern w:val="0"/>
          <w:sz w:val="32"/>
        </w:rPr>
      </w:pPr>
    </w:p>
    <w:p w:rsidR="00026C2B" w:rsidRDefault="00026C2B" w:rsidP="00C62842">
      <w:pPr>
        <w:spacing w:line="560" w:lineRule="exact"/>
        <w:ind w:firstLineChars="200" w:firstLine="640"/>
        <w:rPr>
          <w:rFonts w:ascii="仿宋_GB2312" w:eastAsia="仿宋_GB2312" w:hAnsi="仿宋" w:hint="default"/>
          <w:kern w:val="0"/>
          <w:sz w:val="32"/>
        </w:rPr>
      </w:pPr>
    </w:p>
    <w:p w:rsidR="00026C2B" w:rsidRDefault="00026C2B" w:rsidP="00026C2B">
      <w:pPr>
        <w:spacing w:line="560" w:lineRule="exact"/>
        <w:ind w:right="640"/>
        <w:jc w:val="right"/>
        <w:rPr>
          <w:rFonts w:ascii="仿宋_GB2312" w:eastAsia="仿宋_GB2312" w:hAnsi="仿宋" w:hint="default"/>
          <w:kern w:val="0"/>
          <w:sz w:val="32"/>
        </w:rPr>
      </w:pPr>
      <w:r>
        <w:rPr>
          <w:rFonts w:ascii="仿宋_GB2312" w:eastAsia="仿宋_GB2312" w:hAnsi="仿宋"/>
          <w:kern w:val="0"/>
          <w:sz w:val="32"/>
        </w:rPr>
        <w:t>深圳市</w:t>
      </w:r>
      <w:r>
        <w:rPr>
          <w:rFonts w:ascii="仿宋_GB2312" w:eastAsia="仿宋_GB2312" w:hAnsi="仿宋" w:hint="default"/>
          <w:kern w:val="0"/>
          <w:sz w:val="32"/>
        </w:rPr>
        <w:t>福田区统计局</w:t>
      </w:r>
    </w:p>
    <w:p w:rsidR="00026C2B" w:rsidRDefault="00026C2B" w:rsidP="00026C2B">
      <w:pPr>
        <w:spacing w:line="560" w:lineRule="exact"/>
        <w:ind w:firstLineChars="1550" w:firstLine="4960"/>
        <w:rPr>
          <w:rFonts w:ascii="仿宋_GB2312" w:eastAsia="仿宋_GB2312" w:hAnsi="仿宋" w:hint="default"/>
          <w:kern w:val="0"/>
          <w:sz w:val="32"/>
        </w:rPr>
      </w:pPr>
      <w:r>
        <w:rPr>
          <w:rFonts w:ascii="仿宋_GB2312" w:eastAsia="仿宋_GB2312" w:hAnsi="仿宋"/>
          <w:kern w:val="0"/>
          <w:sz w:val="32"/>
        </w:rPr>
        <w:t>2019年</w:t>
      </w:r>
      <w:r w:rsidR="001F0AB1">
        <w:rPr>
          <w:rFonts w:ascii="仿宋_GB2312" w:eastAsia="仿宋_GB2312" w:hAnsi="仿宋" w:hint="default"/>
          <w:kern w:val="0"/>
          <w:sz w:val="32"/>
        </w:rPr>
        <w:t>7</w:t>
      </w:r>
      <w:r>
        <w:rPr>
          <w:rFonts w:ascii="仿宋_GB2312" w:eastAsia="仿宋_GB2312" w:hAnsi="仿宋"/>
          <w:kern w:val="0"/>
          <w:sz w:val="32"/>
        </w:rPr>
        <w:t>月</w:t>
      </w:r>
      <w:r w:rsidR="001F0AB1">
        <w:rPr>
          <w:rFonts w:ascii="仿宋_GB2312" w:eastAsia="仿宋_GB2312" w:hAnsi="仿宋" w:hint="default"/>
          <w:kern w:val="0"/>
          <w:sz w:val="32"/>
        </w:rPr>
        <w:t>2</w:t>
      </w:r>
      <w:bookmarkStart w:id="0" w:name="_GoBack"/>
      <w:bookmarkEnd w:id="0"/>
      <w:r>
        <w:rPr>
          <w:rFonts w:ascii="仿宋_GB2312" w:eastAsia="仿宋_GB2312" w:hAnsi="仿宋"/>
          <w:kern w:val="0"/>
          <w:sz w:val="32"/>
        </w:rPr>
        <w:t>日</w:t>
      </w:r>
    </w:p>
    <w:sectPr w:rsidR="00026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9A" w:rsidRDefault="0071629A" w:rsidP="00026C2B">
      <w:pPr>
        <w:rPr>
          <w:rFonts w:hint="default"/>
        </w:rPr>
      </w:pPr>
      <w:r>
        <w:separator/>
      </w:r>
    </w:p>
  </w:endnote>
  <w:endnote w:type="continuationSeparator" w:id="0">
    <w:p w:rsidR="0071629A" w:rsidRDefault="0071629A" w:rsidP="00026C2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9A" w:rsidRDefault="0071629A" w:rsidP="00026C2B">
      <w:pPr>
        <w:rPr>
          <w:rFonts w:hint="default"/>
        </w:rPr>
      </w:pPr>
      <w:r>
        <w:separator/>
      </w:r>
    </w:p>
  </w:footnote>
  <w:footnote w:type="continuationSeparator" w:id="0">
    <w:p w:rsidR="0071629A" w:rsidRDefault="0071629A" w:rsidP="00026C2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37F2C"/>
    <w:rsid w:val="00026C2B"/>
    <w:rsid w:val="001F0AB1"/>
    <w:rsid w:val="002E5ABD"/>
    <w:rsid w:val="005B7254"/>
    <w:rsid w:val="0071629A"/>
    <w:rsid w:val="007754DE"/>
    <w:rsid w:val="00B3573F"/>
    <w:rsid w:val="00B47097"/>
    <w:rsid w:val="00C62842"/>
    <w:rsid w:val="00DA0748"/>
    <w:rsid w:val="00DD35E0"/>
    <w:rsid w:val="05BB20C3"/>
    <w:rsid w:val="13BA0F05"/>
    <w:rsid w:val="251E7C4C"/>
    <w:rsid w:val="2C6042B7"/>
    <w:rsid w:val="38E81566"/>
    <w:rsid w:val="40310AA8"/>
    <w:rsid w:val="4B49057B"/>
    <w:rsid w:val="584F6AE7"/>
    <w:rsid w:val="58B15695"/>
    <w:rsid w:val="69AD3623"/>
    <w:rsid w:val="6BF20A10"/>
    <w:rsid w:val="6E5104D4"/>
    <w:rsid w:val="75137F2C"/>
    <w:rsid w:val="7A6C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4F98AE-EF53-4F06-9FC2-DFD8D025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华文仿宋" w:hAnsi="Calibri" w:hint="eastAsia"/>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6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6C2B"/>
    <w:rPr>
      <w:rFonts w:ascii="Calibri" w:eastAsia="华文仿宋" w:hAnsi="Calibri"/>
      <w:kern w:val="2"/>
      <w:sz w:val="18"/>
      <w:szCs w:val="18"/>
    </w:rPr>
  </w:style>
  <w:style w:type="paragraph" w:styleId="a4">
    <w:name w:val="footer"/>
    <w:basedOn w:val="a"/>
    <w:link w:val="Char0"/>
    <w:rsid w:val="00026C2B"/>
    <w:pPr>
      <w:tabs>
        <w:tab w:val="center" w:pos="4153"/>
        <w:tab w:val="right" w:pos="8306"/>
      </w:tabs>
      <w:snapToGrid w:val="0"/>
      <w:jc w:val="left"/>
    </w:pPr>
    <w:rPr>
      <w:sz w:val="18"/>
      <w:szCs w:val="18"/>
    </w:rPr>
  </w:style>
  <w:style w:type="character" w:customStyle="1" w:styleId="Char0">
    <w:name w:val="页脚 Char"/>
    <w:basedOn w:val="a0"/>
    <w:link w:val="a4"/>
    <w:rsid w:val="00026C2B"/>
    <w:rPr>
      <w:rFonts w:ascii="Calibri" w:eastAsia="华文仿宋"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126</Words>
  <Characters>724</Characters>
  <Application>Microsoft Office Word</Application>
  <DocSecurity>0</DocSecurity>
  <Lines>6</Lines>
  <Paragraphs>1</Paragraphs>
  <ScaleCrop>false</ScaleCrop>
  <Company>Lenovo</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吕庆好</dc:creator>
  <cp:lastModifiedBy>陈璇</cp:lastModifiedBy>
  <cp:revision>8</cp:revision>
  <dcterms:created xsi:type="dcterms:W3CDTF">2019-04-02T00:59:00Z</dcterms:created>
  <dcterms:modified xsi:type="dcterms:W3CDTF">2019-07-04T07:36:00Z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