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before="0" w:line="560" w:lineRule="exact"/>
        <w:ind w:left="0" w:leftChars="0" w:right="0" w:rightChars="0" w:firstLine="0" w:firstLineChars="0"/>
        <w:jc w:val="center"/>
        <w:textAlignment w:val="auto"/>
        <w:rPr>
          <w:rFonts w:hint="eastAsia" w:ascii="方正小标宋_GBK" w:hAnsi="宋体" w:eastAsia="方正小标宋_GBK"/>
          <w:color w:val="auto"/>
          <w:sz w:val="44"/>
          <w:szCs w:val="44"/>
          <w:lang w:eastAsia="zh-CN"/>
        </w:rPr>
      </w:pPr>
    </w:p>
    <w:p>
      <w:pPr>
        <w:pStyle w:val="2"/>
        <w:pageBreakBefore w:val="0"/>
        <w:widowControl w:val="0"/>
        <w:kinsoku/>
        <w:wordWrap/>
        <w:overflowPunct/>
        <w:topLinePunct w:val="0"/>
        <w:autoSpaceDE/>
        <w:autoSpaceDN/>
        <w:bidi w:val="0"/>
        <w:adjustRightInd/>
        <w:snapToGrid/>
        <w:spacing w:before="0" w:line="560" w:lineRule="exact"/>
        <w:ind w:left="0" w:leftChars="0" w:right="0" w:rightChars="0" w:firstLine="0" w:firstLineChars="0"/>
        <w:jc w:val="center"/>
        <w:textAlignment w:val="auto"/>
        <w:rPr>
          <w:rFonts w:hint="eastAsia" w:ascii="方正小标宋_GBK" w:hAnsi="宋体" w:eastAsia="方正小标宋_GBK"/>
          <w:color w:val="auto"/>
          <w:sz w:val="44"/>
          <w:szCs w:val="44"/>
          <w:lang w:eastAsia="zh-CN"/>
        </w:rPr>
      </w:pPr>
      <w:r>
        <w:rPr>
          <w:rFonts w:hint="eastAsia" w:ascii="方正小标宋_GBK" w:hAnsi="宋体" w:eastAsia="方正小标宋_GBK"/>
          <w:color w:val="auto"/>
          <w:sz w:val="44"/>
          <w:szCs w:val="44"/>
          <w:lang w:eastAsia="zh-CN"/>
        </w:rPr>
        <w:t>关于《</w:t>
      </w:r>
      <w:r>
        <w:rPr>
          <w:rFonts w:hint="eastAsia" w:ascii="方正小标宋_GBK" w:hAnsi="宋体" w:eastAsia="方正小标宋_GBK"/>
          <w:color w:val="auto"/>
          <w:sz w:val="44"/>
          <w:szCs w:val="44"/>
        </w:rPr>
        <w:t>福田保税区企业及项目入区管理暂行办法</w:t>
      </w:r>
      <w:r>
        <w:rPr>
          <w:rFonts w:hint="eastAsia" w:ascii="方正小标宋_GBK" w:hAnsi="宋体" w:eastAsia="方正小标宋_GBK"/>
          <w:color w:val="auto"/>
          <w:sz w:val="44"/>
          <w:szCs w:val="44"/>
          <w:lang w:eastAsia="zh-CN"/>
        </w:rPr>
        <w:t>》（征求意见稿）的起草情况说明</w:t>
      </w: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一、起草背景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olor w:val="auto"/>
          <w:sz w:val="32"/>
          <w:szCs w:val="32"/>
          <w:u w:val="none"/>
        </w:rPr>
      </w:pPr>
      <w:r>
        <w:rPr>
          <w:rFonts w:hint="eastAsia" w:ascii="仿宋_GB2312" w:eastAsia="仿宋_GB2312"/>
          <w:color w:val="auto"/>
          <w:sz w:val="32"/>
          <w:szCs w:val="32"/>
        </w:rPr>
        <w:t>2019年2月18日</w:t>
      </w:r>
      <w:r>
        <w:rPr>
          <w:rFonts w:hint="eastAsia" w:ascii="仿宋_GB2312" w:eastAsia="仿宋_GB2312"/>
          <w:color w:val="auto"/>
          <w:sz w:val="32"/>
          <w:szCs w:val="32"/>
          <w:lang w:eastAsia="zh-CN"/>
        </w:rPr>
        <w:t>，</w:t>
      </w:r>
      <w:r>
        <w:rPr>
          <w:rFonts w:hint="eastAsia" w:ascii="仿宋_GB2312" w:eastAsia="仿宋_GB2312"/>
          <w:color w:val="auto"/>
          <w:sz w:val="32"/>
          <w:szCs w:val="32"/>
        </w:rPr>
        <w:t>《粤港澳大湾区发展规划纲要》正式</w:t>
      </w:r>
      <w:r>
        <w:rPr>
          <w:rFonts w:hint="eastAsia" w:ascii="仿宋_GB2312" w:eastAsia="仿宋_GB2312"/>
          <w:color w:val="auto"/>
          <w:sz w:val="32"/>
          <w:szCs w:val="32"/>
          <w:lang w:eastAsia="zh-CN"/>
        </w:rPr>
        <w:t>出台</w:t>
      </w:r>
      <w:r>
        <w:rPr>
          <w:rFonts w:hint="eastAsia" w:ascii="仿宋_GB2312" w:eastAsia="仿宋_GB2312"/>
          <w:color w:val="auto"/>
          <w:sz w:val="32"/>
          <w:szCs w:val="32"/>
        </w:rPr>
        <w:t>，明确</w:t>
      </w:r>
      <w:r>
        <w:rPr>
          <w:rFonts w:hint="eastAsia" w:ascii="仿宋_GB2312" w:eastAsia="仿宋_GB2312"/>
          <w:color w:val="auto"/>
          <w:sz w:val="32"/>
          <w:szCs w:val="32"/>
          <w:lang w:eastAsia="zh-CN"/>
        </w:rPr>
        <w:t>提出</w:t>
      </w:r>
      <w:r>
        <w:rPr>
          <w:rFonts w:hint="eastAsia" w:ascii="仿宋_GB2312" w:eastAsia="仿宋_GB2312"/>
          <w:color w:val="auto"/>
          <w:sz w:val="32"/>
          <w:szCs w:val="32"/>
        </w:rPr>
        <w:t>“</w:t>
      </w:r>
      <w:r>
        <w:rPr>
          <w:rFonts w:hint="eastAsia" w:ascii="仿宋_GB2312" w:hAnsi="黑体" w:eastAsia="仿宋_GB2312"/>
          <w:color w:val="auto"/>
          <w:sz w:val="32"/>
          <w:szCs w:val="32"/>
        </w:rPr>
        <w:t>支持落马洲河套港深创新及科技园和毗邻的深方科创园区建设，共同打造科技创新合作区。</w:t>
      </w:r>
      <w:r>
        <w:rPr>
          <w:rFonts w:hint="eastAsia" w:ascii="仿宋_GB2312" w:eastAsia="仿宋_GB2312"/>
          <w:color w:val="auto"/>
          <w:sz w:val="32"/>
          <w:szCs w:val="32"/>
        </w:rPr>
        <w:t>”</w:t>
      </w:r>
      <w:r>
        <w:rPr>
          <w:rFonts w:hint="eastAsia" w:ascii="仿宋_GB2312" w:eastAsia="仿宋_GB2312"/>
          <w:color w:val="auto"/>
          <w:sz w:val="32"/>
          <w:szCs w:val="32"/>
          <w:lang w:eastAsia="zh-CN"/>
        </w:rPr>
        <w:t>福田保税作为合作区中现有建成区及先行启动区，</w:t>
      </w:r>
      <w:r>
        <w:rPr>
          <w:rFonts w:hint="eastAsia" w:ascii="仿宋_GB2312" w:eastAsia="仿宋_GB2312"/>
          <w:color w:val="auto"/>
          <w:sz w:val="32"/>
          <w:szCs w:val="32"/>
        </w:rPr>
        <w:t>具有独特</w:t>
      </w:r>
      <w:r>
        <w:rPr>
          <w:rFonts w:ascii="仿宋_GB2312" w:eastAsia="仿宋_GB2312"/>
          <w:color w:val="auto"/>
          <w:sz w:val="32"/>
          <w:szCs w:val="32"/>
        </w:rPr>
        <w:t>的地域优势</w:t>
      </w:r>
      <w:r>
        <w:rPr>
          <w:rFonts w:hint="eastAsia" w:ascii="仿宋_GB2312" w:eastAsia="仿宋_GB2312"/>
          <w:color w:val="auto"/>
          <w:sz w:val="32"/>
          <w:szCs w:val="32"/>
        </w:rPr>
        <w:t>，肩负国家</w:t>
      </w:r>
      <w:r>
        <w:rPr>
          <w:rFonts w:ascii="仿宋_GB2312" w:eastAsia="仿宋_GB2312"/>
          <w:color w:val="auto"/>
          <w:sz w:val="32"/>
          <w:szCs w:val="32"/>
        </w:rPr>
        <w:t>战略使命，在</w:t>
      </w:r>
      <w:r>
        <w:rPr>
          <w:rFonts w:hint="eastAsia" w:ascii="仿宋_GB2312" w:eastAsia="仿宋_GB2312"/>
          <w:color w:val="auto"/>
          <w:sz w:val="32"/>
          <w:szCs w:val="32"/>
        </w:rPr>
        <w:t>深化</w:t>
      </w:r>
      <w:r>
        <w:rPr>
          <w:rFonts w:ascii="仿宋_GB2312" w:eastAsia="仿宋_GB2312"/>
          <w:color w:val="auto"/>
          <w:sz w:val="32"/>
          <w:szCs w:val="32"/>
        </w:rPr>
        <w:t>深港科技合作，</w:t>
      </w:r>
      <w:r>
        <w:rPr>
          <w:rFonts w:hint="eastAsia" w:ascii="仿宋_GB2312" w:eastAsia="仿宋_GB2312"/>
          <w:color w:val="auto"/>
          <w:sz w:val="32"/>
          <w:szCs w:val="32"/>
        </w:rPr>
        <w:t>建设高水平科技</w:t>
      </w:r>
      <w:r>
        <w:rPr>
          <w:rFonts w:ascii="仿宋_GB2312" w:eastAsia="仿宋_GB2312"/>
          <w:color w:val="auto"/>
          <w:sz w:val="32"/>
          <w:szCs w:val="32"/>
        </w:rPr>
        <w:t>创新平台方面起着</w:t>
      </w:r>
      <w:r>
        <w:rPr>
          <w:rFonts w:hint="eastAsia" w:ascii="仿宋_GB2312" w:eastAsia="仿宋_GB2312"/>
          <w:color w:val="auto"/>
          <w:sz w:val="32"/>
          <w:szCs w:val="32"/>
        </w:rPr>
        <w:t>重要</w:t>
      </w:r>
      <w:r>
        <w:rPr>
          <w:rFonts w:ascii="仿宋_GB2312" w:eastAsia="仿宋_GB2312"/>
          <w:color w:val="auto"/>
          <w:sz w:val="32"/>
          <w:szCs w:val="32"/>
        </w:rPr>
        <w:t>关键</w:t>
      </w:r>
      <w:r>
        <w:rPr>
          <w:rFonts w:hint="eastAsia" w:ascii="仿宋_GB2312" w:eastAsia="仿宋_GB2312"/>
          <w:color w:val="auto"/>
          <w:sz w:val="32"/>
          <w:szCs w:val="32"/>
        </w:rPr>
        <w:t>作用。</w:t>
      </w:r>
      <w:r>
        <w:rPr>
          <w:rFonts w:hint="eastAsia" w:ascii="仿宋_GB2312" w:hAnsi="仿宋_GB2312" w:eastAsia="仿宋_GB2312" w:cs="仿宋_GB2312"/>
          <w:b w:val="0"/>
          <w:bCs/>
          <w:color w:val="auto"/>
          <w:sz w:val="32"/>
          <w:szCs w:val="32"/>
          <w:lang w:val="en-US" w:eastAsia="zh-CN"/>
        </w:rPr>
        <w:t>福田保税区同时也是促进深圳保税区域转型升级的重要试验地，肩负</w:t>
      </w:r>
      <w:r>
        <w:rPr>
          <w:rFonts w:hint="eastAsia" w:ascii="仿宋_GB2312" w:eastAsia="仿宋_GB2312"/>
          <w:color w:val="auto"/>
          <w:sz w:val="32"/>
          <w:szCs w:val="32"/>
          <w:lang w:eastAsia="zh-CN"/>
        </w:rPr>
        <w:t>推动海关特殊监管区域科学发展的重任</w:t>
      </w:r>
      <w:r>
        <w:rPr>
          <w:rFonts w:hint="eastAsia" w:ascii="仿宋_GB2312" w:eastAsia="仿宋_GB2312"/>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olor w:val="auto"/>
          <w:sz w:val="32"/>
          <w:szCs w:val="32"/>
          <w:u w:val="none"/>
        </w:rPr>
      </w:pPr>
      <w:r>
        <w:rPr>
          <w:rFonts w:ascii="仿宋_GB2312" w:eastAsia="仿宋_GB2312"/>
          <w:color w:val="auto"/>
          <w:sz w:val="32"/>
          <w:szCs w:val="32"/>
        </w:rPr>
        <w:t>在</w:t>
      </w:r>
      <w:r>
        <w:rPr>
          <w:rFonts w:hint="eastAsia" w:ascii="仿宋_GB2312" w:eastAsia="仿宋_GB2312"/>
          <w:color w:val="auto"/>
          <w:sz w:val="32"/>
          <w:szCs w:val="32"/>
          <w:lang w:eastAsia="zh-CN"/>
        </w:rPr>
        <w:t>长期</w:t>
      </w:r>
      <w:r>
        <w:rPr>
          <w:rFonts w:ascii="仿宋_GB2312" w:eastAsia="仿宋_GB2312"/>
          <w:color w:val="auto"/>
          <w:sz w:val="32"/>
          <w:szCs w:val="32"/>
        </w:rPr>
        <w:t>发展历程中，</w:t>
      </w:r>
      <w:r>
        <w:rPr>
          <w:rFonts w:hint="eastAsia" w:ascii="仿宋_GB2312" w:eastAsia="仿宋_GB2312"/>
          <w:color w:val="auto"/>
          <w:sz w:val="32"/>
          <w:szCs w:val="32"/>
          <w:lang w:eastAsia="zh-CN"/>
        </w:rPr>
        <w:t>福田保税区因地处中心区，且租金相对低廉，大量非保税企业及项目进驻</w:t>
      </w:r>
      <w:r>
        <w:rPr>
          <w:rFonts w:ascii="仿宋_GB2312" w:eastAsia="仿宋_GB2312"/>
          <w:color w:val="auto"/>
          <w:sz w:val="32"/>
          <w:szCs w:val="32"/>
        </w:rPr>
        <w:t>，同时</w:t>
      </w:r>
      <w:r>
        <w:rPr>
          <w:rFonts w:hint="eastAsia" w:ascii="仿宋_GB2312" w:eastAsia="仿宋_GB2312"/>
          <w:color w:val="auto"/>
          <w:sz w:val="32"/>
          <w:szCs w:val="32"/>
          <w:lang w:eastAsia="zh-CN"/>
        </w:rPr>
        <w:t>保税区</w:t>
      </w:r>
      <w:r>
        <w:rPr>
          <w:rFonts w:ascii="仿宋_GB2312" w:eastAsia="仿宋_GB2312"/>
          <w:color w:val="auto"/>
          <w:sz w:val="32"/>
          <w:szCs w:val="32"/>
        </w:rPr>
        <w:t>部分业主擅自改变房屋</w:t>
      </w:r>
      <w:r>
        <w:rPr>
          <w:rFonts w:hint="eastAsia" w:ascii="仿宋_GB2312" w:eastAsia="仿宋_GB2312"/>
          <w:color w:val="auto"/>
          <w:sz w:val="32"/>
          <w:szCs w:val="32"/>
        </w:rPr>
        <w:t>原有</w:t>
      </w:r>
      <w:r>
        <w:rPr>
          <w:rFonts w:ascii="仿宋_GB2312" w:eastAsia="仿宋_GB2312"/>
          <w:color w:val="auto"/>
          <w:sz w:val="32"/>
          <w:szCs w:val="32"/>
        </w:rPr>
        <w:t>使用功能，</w:t>
      </w:r>
      <w:r>
        <w:rPr>
          <w:rFonts w:hint="eastAsia" w:ascii="仿宋_GB2312" w:eastAsia="仿宋_GB2312"/>
          <w:color w:val="auto"/>
          <w:sz w:val="32"/>
          <w:szCs w:val="32"/>
          <w:lang w:eastAsia="zh-CN"/>
        </w:rPr>
        <w:t>严重挤占保税区产业空间，影响深港科技创新合作区科创资源导入</w:t>
      </w:r>
      <w:r>
        <w:rPr>
          <w:rFonts w:hint="eastAsia" w:ascii="仿宋_GB2312" w:eastAsia="仿宋_GB2312"/>
          <w:color w:val="auto"/>
          <w:sz w:val="32"/>
          <w:szCs w:val="32"/>
        </w:rPr>
        <w:t>。为加快</w:t>
      </w:r>
      <w:r>
        <w:rPr>
          <w:rFonts w:ascii="仿宋_GB2312" w:eastAsia="仿宋_GB2312"/>
          <w:color w:val="auto"/>
          <w:sz w:val="32"/>
          <w:szCs w:val="32"/>
        </w:rPr>
        <w:t>深港科技创新合作区建设，</w:t>
      </w:r>
      <w:r>
        <w:rPr>
          <w:rFonts w:hint="eastAsia" w:ascii="仿宋_GB2312" w:eastAsia="仿宋_GB2312"/>
          <w:color w:val="auto"/>
          <w:sz w:val="32"/>
          <w:szCs w:val="32"/>
        </w:rPr>
        <w:t>优化</w:t>
      </w:r>
      <w:r>
        <w:rPr>
          <w:rFonts w:ascii="仿宋_GB2312" w:eastAsia="仿宋_GB2312"/>
          <w:color w:val="auto"/>
          <w:sz w:val="32"/>
          <w:szCs w:val="32"/>
        </w:rPr>
        <w:t>保税区</w:t>
      </w:r>
      <w:r>
        <w:rPr>
          <w:rFonts w:hint="eastAsia" w:ascii="仿宋_GB2312" w:eastAsia="仿宋_GB2312"/>
          <w:color w:val="auto"/>
          <w:sz w:val="32"/>
          <w:szCs w:val="32"/>
        </w:rPr>
        <w:t>科技</w:t>
      </w:r>
      <w:r>
        <w:rPr>
          <w:rFonts w:ascii="仿宋_GB2312" w:eastAsia="仿宋_GB2312"/>
          <w:color w:val="auto"/>
          <w:sz w:val="32"/>
          <w:szCs w:val="32"/>
        </w:rPr>
        <w:t>创新环境，</w:t>
      </w:r>
      <w:r>
        <w:rPr>
          <w:rFonts w:hint="eastAsia" w:ascii="仿宋_GB2312" w:eastAsia="仿宋_GB2312"/>
          <w:color w:val="auto"/>
          <w:sz w:val="32"/>
          <w:szCs w:val="32"/>
        </w:rPr>
        <w:t>保障高端科研</w:t>
      </w:r>
      <w:r>
        <w:rPr>
          <w:rFonts w:ascii="仿宋_GB2312" w:eastAsia="仿宋_GB2312"/>
          <w:color w:val="auto"/>
          <w:sz w:val="32"/>
          <w:szCs w:val="32"/>
        </w:rPr>
        <w:t>项目</w:t>
      </w:r>
      <w:r>
        <w:rPr>
          <w:rFonts w:hint="eastAsia" w:ascii="仿宋_GB2312" w:eastAsia="仿宋_GB2312"/>
          <w:color w:val="auto"/>
          <w:sz w:val="32"/>
          <w:szCs w:val="32"/>
        </w:rPr>
        <w:t>产业</w:t>
      </w:r>
      <w:r>
        <w:rPr>
          <w:rFonts w:ascii="仿宋_GB2312" w:eastAsia="仿宋_GB2312"/>
          <w:color w:val="auto"/>
          <w:sz w:val="32"/>
          <w:szCs w:val="32"/>
        </w:rPr>
        <w:t>空间，</w:t>
      </w:r>
      <w:r>
        <w:rPr>
          <w:rFonts w:hint="eastAsia" w:ascii="仿宋_GB2312" w:eastAsia="仿宋_GB2312"/>
          <w:color w:val="auto"/>
          <w:sz w:val="32"/>
          <w:szCs w:val="32"/>
          <w:lang w:eastAsia="zh-CN"/>
        </w:rPr>
        <w:t>促进海关特殊监管区域科学发展，有必要制定管理办法</w:t>
      </w:r>
      <w:r>
        <w:rPr>
          <w:rFonts w:ascii="仿宋_GB2312" w:eastAsia="仿宋_GB2312"/>
          <w:color w:val="auto"/>
          <w:sz w:val="32"/>
          <w:szCs w:val="32"/>
        </w:rPr>
        <w:t>，</w:t>
      </w:r>
      <w:r>
        <w:rPr>
          <w:rFonts w:hint="eastAsia" w:ascii="仿宋_GB2312" w:eastAsia="仿宋_GB2312"/>
          <w:color w:val="auto"/>
          <w:sz w:val="32"/>
          <w:szCs w:val="32"/>
        </w:rPr>
        <w:t>形成</w:t>
      </w:r>
      <w:r>
        <w:rPr>
          <w:rFonts w:ascii="仿宋_GB2312" w:eastAsia="仿宋_GB2312"/>
          <w:color w:val="auto"/>
          <w:sz w:val="32"/>
          <w:szCs w:val="32"/>
        </w:rPr>
        <w:t>良好的入区管理体系</w:t>
      </w:r>
      <w:r>
        <w:rPr>
          <w:rFonts w:hint="eastAsia" w:ascii="仿宋_GB2312" w:eastAsia="仿宋_GB2312"/>
          <w:color w:val="auto"/>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u w:val="none"/>
          <w:lang w:eastAsia="zh-CN"/>
        </w:rPr>
      </w:pPr>
      <w:r>
        <w:rPr>
          <w:rFonts w:hint="eastAsia" w:ascii="黑体" w:hAnsi="黑体" w:eastAsia="黑体" w:cs="黑体"/>
          <w:color w:val="auto"/>
          <w:sz w:val="32"/>
          <w:szCs w:val="32"/>
          <w:u w:val="none"/>
          <w:lang w:eastAsia="zh-CN"/>
        </w:rPr>
        <w:t>起草过程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围绕区委区政府提出的提升深港创新融合发展引擎功能，打造更具辐射力的“科技创新中心”这一目标，为实现在深港科技创新合作区布局一批科技创新基础设施和重大项目，集聚一批行业科技前沿领军企业，建成一批开放创新公共服务平台这一重要任务，我局自承接市商务局保税区企业及项目入区管理此项职能以来，把入区管理作为优化福田保税区产业布局的一个重要抓手，着手开展管理办法制定工作。</w:t>
      </w:r>
      <w:r>
        <w:rPr>
          <w:rFonts w:hint="eastAsia" w:ascii="仿宋_GB2312" w:hAnsi="仿宋_GB2312" w:eastAsia="仿宋_GB2312" w:cs="仿宋_GB2312"/>
          <w:sz w:val="32"/>
          <w:szCs w:val="32"/>
          <w:lang w:val="en-US" w:eastAsia="zh-CN"/>
        </w:rPr>
        <w:t>6月8日，</w:t>
      </w:r>
      <w:r>
        <w:rPr>
          <w:rFonts w:hint="eastAsia" w:ascii="仿宋_GB2312" w:hAnsi="仿宋_GB2312" w:eastAsia="仿宋_GB2312" w:cs="仿宋_GB2312"/>
          <w:sz w:val="32"/>
          <w:szCs w:val="32"/>
          <w:lang w:eastAsia="zh-CN"/>
        </w:rPr>
        <w:t>黄伟区长主持召开深港科技创新合作区福保片区有关入区项目管理工作协调会，为管理办法制定工作指明方向。</w:t>
      </w:r>
      <w:bookmarkStart w:id="0" w:name="_GoBack"/>
      <w:bookmarkEnd w:id="0"/>
      <w:r>
        <w:rPr>
          <w:rFonts w:hint="eastAsia" w:ascii="仿宋_GB2312" w:hAnsi="仿宋_GB2312" w:eastAsia="仿宋_GB2312" w:cs="仿宋_GB2312"/>
          <w:sz w:val="32"/>
          <w:szCs w:val="32"/>
          <w:lang w:val="en-US" w:eastAsia="zh-CN"/>
        </w:rPr>
        <w:t>7月16日，我局起草完毕《福田保税区企业及项目入区管理暂行办法》（征求意见稿），并向区有关部门征求了意见。根据各部门意见，我局对《办法》进行了修改，并征求局了法律顾问的意见。</w:t>
      </w:r>
    </w:p>
    <w:p>
      <w:pPr>
        <w:pStyle w:val="2"/>
        <w:pageBreakBefore w:val="0"/>
        <w:widowControl w:val="0"/>
        <w:numPr>
          <w:ilvl w:val="0"/>
          <w:numId w:val="1"/>
        </w:numPr>
        <w:kinsoku/>
        <w:wordWrap/>
        <w:overflowPunct/>
        <w:topLinePunct w:val="0"/>
        <w:autoSpaceDE/>
        <w:autoSpaceDN/>
        <w:bidi w:val="0"/>
        <w:adjustRightInd/>
        <w:snapToGrid/>
        <w:spacing w:before="0" w:line="560" w:lineRule="exact"/>
        <w:ind w:left="0" w:leftChars="0" w:right="0" w:rightChars="0" w:firstLine="640" w:firstLineChars="200"/>
        <w:jc w:val="both"/>
        <w:textAlignment w:val="auto"/>
        <w:rPr>
          <w:rFonts w:hint="eastAsia" w:ascii="黑体" w:hAnsi="黑体" w:eastAsia="黑体" w:cs="黑体"/>
          <w:color w:val="auto"/>
          <w:lang w:eastAsia="zh-CN"/>
        </w:rPr>
      </w:pPr>
      <w:r>
        <w:rPr>
          <w:rFonts w:hint="eastAsia" w:ascii="黑体" w:hAnsi="黑体" w:eastAsia="黑体" w:cs="黑体"/>
          <w:color w:val="auto"/>
          <w:lang w:eastAsia="zh-CN"/>
        </w:rPr>
        <w:t>主要内容</w:t>
      </w:r>
    </w:p>
    <w:p>
      <w:pPr>
        <w:keepNext w:val="0"/>
        <w:keepLines w:val="0"/>
        <w:pageBreakBefore w:val="0"/>
        <w:widowControl w:val="0"/>
        <w:numPr>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办法》分为四个部分：第一部分为第一条至第四条，主要介绍制定《办法》的背景、依据及任务。管理办法紧扣深港科技创新合作区先行启动区这一定位，着力扭转福田保税区非保税企业挤占产业空间的局面，引导不符合福田保税区发展要求的产业逐步向区外转移，为福田区建设科技创新中心提供空间保障，真正做到宝地宝用。</w:t>
      </w:r>
      <w:r>
        <w:rPr>
          <w:rFonts w:hint="eastAsia" w:ascii="仿宋_GB2312" w:hAnsi="仿宋_GB2312" w:eastAsia="仿宋_GB2312" w:cs="仿宋_GB2312"/>
          <w:kern w:val="2"/>
          <w:sz w:val="32"/>
          <w:szCs w:val="32"/>
          <w:lang w:val="en-US" w:eastAsia="zh-CN" w:bidi="ar-SA"/>
        </w:rPr>
        <w:t>第二部分为第五条至第七条，规定了鼓励入区、允许入区的企业及项目类型，同时明确了不允许入区的企业及项目类型。</w:t>
      </w:r>
      <w:r>
        <w:rPr>
          <w:rFonts w:hint="eastAsia" w:ascii="仿宋_GB2312" w:hAnsi="仿宋_GB2312" w:eastAsia="仿宋_GB2312" w:cs="仿宋_GB2312"/>
          <w:sz w:val="32"/>
          <w:szCs w:val="32"/>
          <w:lang w:val="en-US" w:eastAsia="zh-CN"/>
        </w:rPr>
        <w:t>第三部分为第八条至第十一条，规定了企业及项目办理入区的条件及程序。第四部分为附则部分。</w:t>
      </w:r>
    </w:p>
    <w:p>
      <w:pPr>
        <w:pStyle w:val="2"/>
        <w:pageBreakBefore w:val="0"/>
        <w:widowControl w:val="0"/>
        <w:numPr>
          <w:ilvl w:val="0"/>
          <w:numId w:val="1"/>
        </w:numPr>
        <w:kinsoku/>
        <w:wordWrap/>
        <w:overflowPunct/>
        <w:topLinePunct w:val="0"/>
        <w:autoSpaceDE/>
        <w:autoSpaceDN/>
        <w:bidi w:val="0"/>
        <w:adjustRightInd/>
        <w:snapToGrid/>
        <w:spacing w:before="0" w:line="560" w:lineRule="exact"/>
        <w:ind w:left="0" w:leftChars="0" w:right="0" w:rightChars="0" w:firstLine="640" w:firstLineChars="200"/>
        <w:jc w:val="both"/>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其他</w:t>
      </w:r>
    </w:p>
    <w:p>
      <w:pPr>
        <w:numPr>
          <w:numId w:val="0"/>
        </w:numPr>
        <w:ind w:firstLine="640" w:firstLineChars="200"/>
        <w:rPr>
          <w:rFonts w:hint="eastAsia"/>
          <w:lang w:val="en-US" w:eastAsia="zh-CN"/>
        </w:rPr>
      </w:pPr>
      <w:r>
        <w:rPr>
          <w:rFonts w:hint="eastAsia" w:ascii="仿宋_GB2312" w:hAnsi="仿宋_GB2312" w:eastAsia="仿宋_GB2312" w:cs="仿宋_GB2312"/>
          <w:i w:val="0"/>
          <w:caps w:val="0"/>
          <w:color w:val="000000"/>
          <w:spacing w:val="0"/>
          <w:kern w:val="0"/>
          <w:sz w:val="32"/>
          <w:szCs w:val="32"/>
          <w:vertAlign w:val="baseline"/>
          <w:lang w:val="en-US" w:eastAsia="zh-CN" w:bidi="ar"/>
        </w:rPr>
        <w:t>《暂行办法》拟作为区政府规范性文件，呈报区政府同意后印发，有效期三年。</w:t>
      </w:r>
    </w:p>
    <w:p>
      <w:pPr>
        <w:pageBreakBefore w:val="0"/>
        <w:widowControl w:val="0"/>
        <w:numPr>
          <w:numId w:val="0"/>
        </w:numPr>
        <w:kinsoku/>
        <w:wordWrap/>
        <w:overflowPunct/>
        <w:topLinePunct w:val="0"/>
        <w:autoSpaceDE/>
        <w:autoSpaceDN/>
        <w:bidi w:val="0"/>
        <w:adjustRightInd/>
        <w:snapToGrid/>
        <w:spacing w:line="560" w:lineRule="exact"/>
        <w:ind w:leftChars="200" w:right="0" w:rightChars="0"/>
        <w:jc w:val="both"/>
        <w:textAlignment w:val="auto"/>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 w:name="Arial Unicode MS">
    <w:altName w:val="宋体"/>
    <w:panose1 w:val="020B0604020202020204"/>
    <w:charset w:val="86"/>
    <w:family w:val="auto"/>
    <w:pitch w:val="default"/>
    <w:sig w:usb0="00000000" w:usb1="00000000" w:usb2="0000003F" w:usb3="00000000" w:csb0="603F01FF" w:csb1="FFFF0000"/>
  </w:font>
  <w:font w:name="PMingLiU">
    <w:panose1 w:val="02020500000000000000"/>
    <w:charset w:val="88"/>
    <w:family w:val="auto"/>
    <w:pitch w:val="default"/>
    <w:sig w:usb0="A00002FF" w:usb1="28CFFCFA" w:usb2="00000016" w:usb3="00000000" w:csb0="00100001"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43B2A2"/>
    <w:multiLevelType w:val="singleLevel"/>
    <w:tmpl w:val="5D43B2A2"/>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B72030"/>
    <w:rsid w:val="068F1964"/>
    <w:rsid w:val="117D44BE"/>
    <w:rsid w:val="20832DF2"/>
    <w:rsid w:val="46B72030"/>
    <w:rsid w:val="737C6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240"/>
      <w:ind w:firstLine="200" w:firstLineChars="200"/>
      <w:outlineLvl w:val="0"/>
    </w:pPr>
    <w:rPr>
      <w:rFonts w:ascii="Calibri Light" w:hAnsi="Calibri Light"/>
      <w:color w:val="2E75B5"/>
      <w:sz w:val="32"/>
      <w:szCs w:val="32"/>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2019-07-16T10:05:00Z</dcterms:created>
  <dc:creator>null</dc:creator>
  <cp:lastModifiedBy>null</cp:lastModifiedBy>
  <cp:lastPrinted>2019-07-30T17:13:00Z</cp:lastPrinted>
  <dcterms:modified xsi:type="dcterms:W3CDTF">2019-08-02T05:05:30Z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