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8240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3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3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3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59264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关于福田区第七届人民代表大会第六次会议代表建议《关于我区落实文物保护“最后一公里”的建议》（第20200044号）</w:t>
      </w:r>
    </w:p>
    <w:p>
      <w:pPr>
        <w:spacing w:line="560" w:lineRule="exact"/>
        <w:ind w:right="31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的回复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尊敬的曹伟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您提出的《关于我区落实文物保护“最后一公里”的建议》第20200044号建议收悉，感谢您对深圳市福田区文物事业关心与厚爱！经认真研究，现将有关情况回复如下：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  <w:t>文物保护的安全性、原真性和人文价值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我区文化遗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产丰富多样，多年来，我区一直重视文物的保护工作，坚持安全保护、原真性保护和人文价值保护，但仍有提升空间。下一步，我局将会同有关部门，以“原结构、原工艺、原形制、原材料”和“保护挖掘文物人文内涵”的原则，细化文物保护和抢救方案，通过建章立制，将安全性保护、原真性保护、人文性保护和环境性保护制度化，形成共识，确保文物安全和传承发展。</w:t>
      </w:r>
    </w:p>
    <w:p>
      <w:pPr>
        <w:spacing w:line="560" w:lineRule="atLeast"/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/>
          <w:b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  <w:t>文物保护的理论研究</w:t>
      </w: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 xml:space="preserve">     我区文物理论研究还存在薄弱环节，尤其是系统性理论研究建设亟待加强，下一步，我局将重点发现、录用、培养文物理论研究的专家学者，重点在传统理论和化学分析技术、3D打印技术、大数据等现代科技相结合上，打造我区文物理论研究矩阵，提高文物理论研究水平。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旧城改造要与历史文化遗产的保护相结合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针对您的建议，我局已经及时联系区土地整备与更新局，相关回复见区七届人大会议第2020038号建议的答复。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 xml:space="preserve"> </w:t>
      </w:r>
    </w:p>
    <w:p>
      <w:pPr>
        <w:spacing w:line="560" w:lineRule="atLeast"/>
        <w:ind w:firstLine="643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文物保护的制度保障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针对基层文物保护人员缺乏等实际问题，我局将积极会同组织、人事、财政、街道社区等相关部门建章立制，采用定编、聘用、志愿者服务等方式，多渠道增加文物基层保护人员，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落实文物保护“最后一公里”，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确保文物保护工作迈上新台阶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，相关措施要尽早完善，并形成书面汇报材料。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 xml:space="preserve">                 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2020年6月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9日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（联系人：肖坤刚，联系电话：82918193  13510393089）</w:t>
      </w:r>
    </w:p>
    <w:p>
      <w:pPr>
        <w:spacing w:line="560" w:lineRule="atLeast"/>
        <w:ind w:firstLine="420" w:firstLineChars="200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5B3"/>
    <w:rsid w:val="000A5FF6"/>
    <w:rsid w:val="00103235"/>
    <w:rsid w:val="0013418B"/>
    <w:rsid w:val="0026504E"/>
    <w:rsid w:val="003025B3"/>
    <w:rsid w:val="00313A83"/>
    <w:rsid w:val="004019EE"/>
    <w:rsid w:val="00480E57"/>
    <w:rsid w:val="004B0242"/>
    <w:rsid w:val="00521626"/>
    <w:rsid w:val="00640AB1"/>
    <w:rsid w:val="006511D4"/>
    <w:rsid w:val="00676AC0"/>
    <w:rsid w:val="006C73BD"/>
    <w:rsid w:val="006D0DEF"/>
    <w:rsid w:val="007775F5"/>
    <w:rsid w:val="00981424"/>
    <w:rsid w:val="009A03B7"/>
    <w:rsid w:val="00A94E85"/>
    <w:rsid w:val="00B02C85"/>
    <w:rsid w:val="00B47959"/>
    <w:rsid w:val="00CC2F07"/>
    <w:rsid w:val="00D12B33"/>
    <w:rsid w:val="00E630E5"/>
    <w:rsid w:val="00E873B7"/>
    <w:rsid w:val="00F967F5"/>
    <w:rsid w:val="4C3D2D0C"/>
    <w:rsid w:val="620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ScaleCrop>false</ScaleCrop>
  <LinksUpToDate>false</LinksUpToDate>
  <CharactersWithSpaces>807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2020-06-05T02:19:00Z</dcterms:created>
  <dc:creator>admin</dc:creator>
  <cp:lastModifiedBy>Administrator</cp:lastModifiedBy>
  <dcterms:modified xsi:type="dcterms:W3CDTF">2020-07-03T08:11:41Z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