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黑体" w:eastAsia="方正小标宋简体" w:cs="宋体"/>
          <w:color w:val="auto"/>
          <w:sz w:val="44"/>
          <w:szCs w:val="44"/>
          <w:lang w:eastAsia="zh-CN"/>
        </w:rPr>
      </w:pPr>
      <w:r>
        <w:rPr>
          <w:rFonts w:hint="eastAsia" w:ascii="方正小标宋简体" w:hAnsi="黑体" w:eastAsia="方正小标宋简体" w:cs="宋体"/>
          <w:color w:val="auto"/>
          <w:sz w:val="44"/>
          <w:szCs w:val="44"/>
          <w:lang w:eastAsia="zh-CN"/>
        </w:rPr>
        <w:t>深圳市福田区文学艺术界联合会</w:t>
      </w:r>
    </w:p>
    <w:p>
      <w:pPr>
        <w:ind w:firstLine="880" w:firstLineChars="200"/>
        <w:jc w:val="center"/>
        <w:rPr>
          <w:rFonts w:hint="eastAsia" w:ascii="方正小标宋简体" w:hAnsi="黑体" w:eastAsia="方正小标宋简体" w:cs="宋体"/>
          <w:color w:val="auto"/>
          <w:sz w:val="44"/>
          <w:szCs w:val="44"/>
        </w:rPr>
      </w:pPr>
      <w:r>
        <w:rPr>
          <w:rFonts w:hint="eastAsia" w:ascii="方正小标宋简体" w:hAnsi="黑体" w:eastAsia="方正小标宋简体" w:cs="宋体"/>
          <w:color w:val="auto"/>
          <w:sz w:val="44"/>
          <w:szCs w:val="44"/>
        </w:rPr>
        <w:t>2017年度部门决算</w:t>
      </w:r>
    </w:p>
    <w:p>
      <w:pPr>
        <w:ind w:firstLine="643" w:firstLineChars="200"/>
        <w:jc w:val="center"/>
        <w:rPr>
          <w:rFonts w:ascii="仿宋_GB2312" w:hAnsi="宋体" w:eastAsia="仿宋_GB2312" w:cs="宋体"/>
          <w:b/>
          <w:color w:val="auto"/>
          <w:sz w:val="32"/>
          <w:szCs w:val="32"/>
        </w:rPr>
      </w:pPr>
    </w:p>
    <w:p>
      <w:pPr>
        <w:ind w:firstLine="640" w:firstLineChars="200"/>
        <w:jc w:val="center"/>
        <w:rPr>
          <w:rFonts w:hint="eastAsia" w:ascii="黑体" w:hAnsi="黑体" w:eastAsia="黑体" w:cs="宋体"/>
          <w:color w:val="auto"/>
          <w:sz w:val="32"/>
          <w:szCs w:val="32"/>
        </w:rPr>
      </w:pPr>
      <w:r>
        <w:rPr>
          <w:rFonts w:hint="eastAsia" w:ascii="黑体" w:hAnsi="黑体" w:eastAsia="黑体" w:cs="宋体"/>
          <w:color w:val="auto"/>
          <w:sz w:val="32"/>
          <w:szCs w:val="32"/>
        </w:rPr>
        <w:t>目录</w:t>
      </w:r>
    </w:p>
    <w:p>
      <w:pPr>
        <w:ind w:firstLine="640" w:firstLineChars="200"/>
        <w:rPr>
          <w:rFonts w:ascii="黑体" w:hAnsi="黑体" w:eastAsia="黑体" w:cs="宋体"/>
          <w:color w:val="auto"/>
          <w:sz w:val="32"/>
          <w:szCs w:val="32"/>
        </w:rPr>
      </w:pPr>
      <w:r>
        <w:rPr>
          <w:rFonts w:hint="eastAsia" w:ascii="黑体" w:hAnsi="黑体" w:eastAsia="黑体" w:cs="宋体"/>
          <w:color w:val="auto"/>
          <w:sz w:val="32"/>
          <w:szCs w:val="32"/>
        </w:rPr>
        <w:t>一、</w:t>
      </w:r>
      <w:r>
        <w:rPr>
          <w:rFonts w:hint="eastAsia" w:ascii="黑体" w:hAnsi="黑体" w:eastAsia="黑体" w:cs="宋体"/>
          <w:color w:val="auto"/>
          <w:sz w:val="32"/>
          <w:szCs w:val="32"/>
          <w:lang w:eastAsia="zh-CN"/>
        </w:rPr>
        <w:t>深圳市福田区文学艺术界联合会</w:t>
      </w:r>
      <w:r>
        <w:rPr>
          <w:rFonts w:hint="eastAsia" w:ascii="黑体" w:hAnsi="黑体" w:eastAsia="黑体" w:cs="宋体"/>
          <w:color w:val="auto"/>
          <w:sz w:val="32"/>
          <w:szCs w:val="32"/>
        </w:rPr>
        <w:t>概况</w:t>
      </w:r>
    </w:p>
    <w:p>
      <w:pPr>
        <w:ind w:firstLine="643" w:firstLineChars="200"/>
        <w:rPr>
          <w:rFonts w:hint="eastAsia" w:ascii="楷体_GB2312" w:hAnsi="宋体" w:eastAsia="楷体_GB2312" w:cs="宋体"/>
          <w:b/>
          <w:color w:val="auto"/>
          <w:sz w:val="32"/>
          <w:szCs w:val="32"/>
        </w:rPr>
      </w:pPr>
      <w:r>
        <w:rPr>
          <w:rFonts w:hint="eastAsia" w:ascii="楷体_GB2312" w:hAnsi="宋体" w:eastAsia="楷体_GB2312" w:cs="宋体"/>
          <w:b/>
          <w:color w:val="auto"/>
          <w:sz w:val="32"/>
          <w:szCs w:val="32"/>
        </w:rPr>
        <w:t>（一）部门职责</w:t>
      </w:r>
    </w:p>
    <w:p>
      <w:pPr>
        <w:ind w:firstLine="643" w:firstLineChars="200"/>
        <w:rPr>
          <w:rFonts w:hint="eastAsia" w:ascii="楷体_GB2312" w:hAnsi="宋体" w:eastAsia="楷体_GB2312" w:cs="宋体"/>
          <w:b/>
          <w:color w:val="auto"/>
          <w:sz w:val="32"/>
          <w:szCs w:val="32"/>
        </w:rPr>
      </w:pPr>
      <w:r>
        <w:rPr>
          <w:rFonts w:hint="eastAsia" w:ascii="楷体_GB2312" w:hAnsi="宋体" w:eastAsia="楷体_GB2312" w:cs="宋体"/>
          <w:b/>
          <w:color w:val="auto"/>
          <w:sz w:val="32"/>
          <w:szCs w:val="32"/>
        </w:rPr>
        <w:t>（二）机构设置</w:t>
      </w:r>
    </w:p>
    <w:p>
      <w:pPr>
        <w:rPr>
          <w:rFonts w:hint="eastAsia" w:ascii="黑体" w:hAnsi="黑体" w:eastAsia="黑体" w:cs="宋体"/>
          <w:color w:val="auto"/>
          <w:sz w:val="32"/>
          <w:szCs w:val="32"/>
        </w:rPr>
      </w:pPr>
      <w:r>
        <w:rPr>
          <w:rFonts w:hint="eastAsia" w:ascii="黑体" w:hAnsi="黑体" w:eastAsia="黑体" w:cs="宋体"/>
          <w:color w:val="auto"/>
          <w:sz w:val="32"/>
          <w:szCs w:val="32"/>
        </w:rPr>
        <w:t xml:space="preserve">    二、</w:t>
      </w:r>
      <w:r>
        <w:rPr>
          <w:rFonts w:hint="eastAsia" w:ascii="黑体" w:hAnsi="黑体" w:eastAsia="黑体" w:cs="宋体"/>
          <w:color w:val="auto"/>
          <w:sz w:val="32"/>
          <w:szCs w:val="32"/>
          <w:lang w:eastAsia="zh-CN"/>
        </w:rPr>
        <w:t>深圳市福田区文学艺术界联合会</w:t>
      </w:r>
      <w:r>
        <w:rPr>
          <w:rFonts w:ascii="黑体" w:hAnsi="黑体" w:eastAsia="黑体" w:cs="宋体"/>
          <w:color w:val="auto"/>
          <w:sz w:val="32"/>
          <w:szCs w:val="32"/>
        </w:rPr>
        <w:t>2017</w:t>
      </w:r>
      <w:r>
        <w:rPr>
          <w:rFonts w:hint="eastAsia" w:ascii="黑体" w:hAnsi="黑体" w:eastAsia="黑体" w:cs="宋体"/>
          <w:color w:val="auto"/>
          <w:sz w:val="32"/>
          <w:szCs w:val="32"/>
        </w:rPr>
        <w:t>年度部门决算表</w:t>
      </w:r>
    </w:p>
    <w:p>
      <w:pPr>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三、</w:t>
      </w:r>
      <w:r>
        <w:rPr>
          <w:rFonts w:hint="eastAsia" w:ascii="黑体" w:hAnsi="黑体" w:eastAsia="黑体" w:cs="宋体"/>
          <w:color w:val="auto"/>
          <w:sz w:val="32"/>
          <w:szCs w:val="32"/>
          <w:lang w:eastAsia="zh-CN"/>
        </w:rPr>
        <w:t>深圳市福田区文学艺术界联合会</w:t>
      </w:r>
      <w:r>
        <w:rPr>
          <w:rFonts w:ascii="黑体" w:hAnsi="黑体" w:eastAsia="黑体" w:cs="宋体"/>
          <w:color w:val="auto"/>
          <w:sz w:val="32"/>
          <w:szCs w:val="32"/>
        </w:rPr>
        <w:t>2017</w:t>
      </w:r>
      <w:r>
        <w:rPr>
          <w:rFonts w:hint="eastAsia" w:ascii="黑体" w:hAnsi="黑体" w:eastAsia="黑体" w:cs="宋体"/>
          <w:color w:val="auto"/>
          <w:sz w:val="32"/>
          <w:szCs w:val="32"/>
        </w:rPr>
        <w:t>年度部门决算情况说明</w:t>
      </w:r>
    </w:p>
    <w:p>
      <w:pPr>
        <w:rPr>
          <w:rFonts w:ascii="黑体" w:hAnsi="黑体" w:eastAsia="黑体" w:cs="宋体"/>
          <w:color w:val="auto"/>
          <w:sz w:val="32"/>
          <w:szCs w:val="32"/>
        </w:rPr>
      </w:pPr>
      <w:r>
        <w:rPr>
          <w:rFonts w:hint="eastAsia" w:ascii="黑体" w:hAnsi="黑体" w:eastAsia="黑体" w:cs="宋体"/>
          <w:color w:val="auto"/>
          <w:sz w:val="32"/>
          <w:szCs w:val="32"/>
        </w:rPr>
        <w:t xml:space="preserve">    四、名词解释</w:t>
      </w:r>
    </w:p>
    <w:p>
      <w:pPr>
        <w:ind w:firstLine="643" w:firstLineChars="200"/>
        <w:jc w:val="center"/>
        <w:rPr>
          <w:rFonts w:ascii="仿宋_GB2312" w:hAnsi="宋体" w:eastAsia="仿宋_GB2312" w:cs="宋体"/>
          <w:b/>
          <w:color w:val="auto"/>
          <w:sz w:val="32"/>
          <w:szCs w:val="32"/>
        </w:rPr>
      </w:pPr>
    </w:p>
    <w:p>
      <w:pPr>
        <w:ind w:firstLine="643" w:firstLineChars="200"/>
        <w:jc w:val="center"/>
        <w:rPr>
          <w:rFonts w:ascii="仿宋_GB2312" w:hAnsi="宋体" w:eastAsia="仿宋_GB2312" w:cs="宋体"/>
          <w:b/>
          <w:color w:val="auto"/>
          <w:sz w:val="32"/>
          <w:szCs w:val="32"/>
        </w:rPr>
      </w:pPr>
    </w:p>
    <w:p>
      <w:pPr>
        <w:ind w:firstLine="643" w:firstLineChars="200"/>
        <w:jc w:val="center"/>
        <w:rPr>
          <w:rFonts w:ascii="仿宋_GB2312" w:hAnsi="宋体" w:eastAsia="仿宋_GB2312" w:cs="宋体"/>
          <w:b/>
          <w:color w:val="auto"/>
          <w:sz w:val="32"/>
          <w:szCs w:val="32"/>
        </w:rPr>
      </w:pPr>
    </w:p>
    <w:p>
      <w:pPr>
        <w:ind w:firstLine="643" w:firstLineChars="200"/>
        <w:jc w:val="center"/>
        <w:rPr>
          <w:rFonts w:ascii="仿宋_GB2312" w:hAnsi="宋体" w:eastAsia="仿宋_GB2312" w:cs="宋体"/>
          <w:b/>
          <w:color w:val="auto"/>
          <w:sz w:val="32"/>
          <w:szCs w:val="32"/>
        </w:rPr>
      </w:pPr>
    </w:p>
    <w:p>
      <w:pPr>
        <w:ind w:firstLine="643" w:firstLineChars="200"/>
        <w:jc w:val="center"/>
        <w:rPr>
          <w:rFonts w:ascii="仿宋_GB2312" w:hAnsi="宋体" w:eastAsia="仿宋_GB2312" w:cs="宋体"/>
          <w:b/>
          <w:color w:val="auto"/>
          <w:sz w:val="32"/>
          <w:szCs w:val="32"/>
        </w:rPr>
      </w:pPr>
    </w:p>
    <w:p>
      <w:pPr>
        <w:ind w:firstLine="643" w:firstLineChars="200"/>
        <w:jc w:val="center"/>
        <w:rPr>
          <w:rFonts w:ascii="仿宋_GB2312" w:hAnsi="宋体" w:eastAsia="仿宋_GB2312" w:cs="宋体"/>
          <w:b/>
          <w:color w:val="auto"/>
          <w:sz w:val="32"/>
          <w:szCs w:val="32"/>
        </w:rPr>
      </w:pPr>
    </w:p>
    <w:p>
      <w:pPr>
        <w:ind w:firstLine="643" w:firstLineChars="200"/>
        <w:jc w:val="center"/>
        <w:rPr>
          <w:rFonts w:ascii="仿宋_GB2312" w:hAnsi="宋体" w:eastAsia="仿宋_GB2312" w:cs="宋体"/>
          <w:b/>
          <w:color w:val="auto"/>
          <w:sz w:val="32"/>
          <w:szCs w:val="32"/>
        </w:rPr>
      </w:pPr>
    </w:p>
    <w:p>
      <w:pPr>
        <w:ind w:firstLine="643" w:firstLineChars="200"/>
        <w:jc w:val="center"/>
        <w:rPr>
          <w:rFonts w:ascii="仿宋_GB2312" w:hAnsi="宋体" w:eastAsia="仿宋_GB2312" w:cs="宋体"/>
          <w:b/>
          <w:color w:val="auto"/>
          <w:sz w:val="32"/>
          <w:szCs w:val="32"/>
        </w:rPr>
      </w:pPr>
    </w:p>
    <w:p>
      <w:pPr>
        <w:ind w:firstLine="643" w:firstLineChars="200"/>
        <w:jc w:val="center"/>
        <w:rPr>
          <w:rFonts w:ascii="仿宋_GB2312" w:hAnsi="宋体" w:eastAsia="仿宋_GB2312" w:cs="宋体"/>
          <w:b/>
          <w:color w:val="auto"/>
          <w:sz w:val="32"/>
          <w:szCs w:val="32"/>
        </w:rPr>
      </w:pPr>
    </w:p>
    <w:p>
      <w:pPr>
        <w:ind w:firstLine="640" w:firstLineChars="200"/>
        <w:rPr>
          <w:rFonts w:hint="eastAsia" w:ascii="黑体" w:hAnsi="黑体" w:eastAsia="黑体" w:cs="宋体"/>
          <w:color w:val="auto"/>
          <w:sz w:val="32"/>
          <w:szCs w:val="32"/>
        </w:rPr>
      </w:pPr>
    </w:p>
    <w:p>
      <w:pPr>
        <w:ind w:firstLine="640" w:firstLineChars="200"/>
        <w:rPr>
          <w:rFonts w:ascii="黑体" w:hAnsi="黑体" w:eastAsia="黑体" w:cs="宋体"/>
          <w:color w:val="auto"/>
          <w:sz w:val="32"/>
          <w:szCs w:val="32"/>
        </w:rPr>
      </w:pPr>
      <w:r>
        <w:rPr>
          <w:rFonts w:hint="eastAsia" w:ascii="黑体" w:hAnsi="黑体" w:eastAsia="黑体" w:cs="宋体"/>
          <w:color w:val="auto"/>
          <w:sz w:val="32"/>
          <w:szCs w:val="32"/>
        </w:rPr>
        <w:t>一、</w:t>
      </w:r>
      <w:r>
        <w:rPr>
          <w:rFonts w:hint="eastAsia" w:ascii="黑体" w:hAnsi="黑体" w:eastAsia="黑体" w:cs="宋体"/>
          <w:color w:val="auto"/>
          <w:sz w:val="32"/>
          <w:szCs w:val="32"/>
          <w:lang w:eastAsia="zh-CN"/>
        </w:rPr>
        <w:t>深圳市福田区文学艺术界联合会</w:t>
      </w:r>
      <w:r>
        <w:rPr>
          <w:rFonts w:hint="eastAsia" w:ascii="黑体" w:hAnsi="黑体" w:eastAsia="黑体" w:cs="宋体"/>
          <w:color w:val="auto"/>
          <w:sz w:val="32"/>
          <w:szCs w:val="32"/>
        </w:rPr>
        <w:t>概况</w:t>
      </w:r>
      <w:r>
        <w:rPr>
          <w:rFonts w:hint="eastAsia" w:ascii="黑体" w:hAnsi="黑体" w:eastAsia="黑体" w:cs="宋体"/>
          <w:color w:val="auto"/>
          <w:sz w:val="32"/>
          <w:szCs w:val="32"/>
          <w:lang w:eastAsia="zh-CN"/>
        </w:rPr>
        <w:t>（以下简称福田区文联）</w:t>
      </w:r>
    </w:p>
    <w:p>
      <w:pPr>
        <w:rPr>
          <w:rFonts w:hint="eastAsia" w:ascii="楷体_GB2312" w:hAnsi="宋体" w:eastAsia="楷体_GB2312" w:cs="宋体"/>
          <w:b/>
          <w:color w:val="auto"/>
          <w:sz w:val="32"/>
          <w:szCs w:val="32"/>
        </w:rPr>
      </w:pPr>
      <w:r>
        <w:rPr>
          <w:rFonts w:hint="eastAsia" w:ascii="仿宋_GB2312" w:hAnsi="宋体" w:eastAsia="仿宋_GB2312" w:cs="宋体"/>
          <w:b/>
          <w:color w:val="auto"/>
          <w:sz w:val="32"/>
          <w:szCs w:val="32"/>
        </w:rPr>
        <w:t xml:space="preserve">      </w:t>
      </w:r>
      <w:r>
        <w:rPr>
          <w:rFonts w:hint="eastAsia" w:ascii="楷体_GB2312" w:hAnsi="宋体" w:eastAsia="楷体_GB2312" w:cs="宋体"/>
          <w:b/>
          <w:color w:val="auto"/>
          <w:sz w:val="32"/>
          <w:szCs w:val="32"/>
        </w:rPr>
        <w:t>（一）部门职责</w:t>
      </w:r>
    </w:p>
    <w:p>
      <w:pPr>
        <w:spacing w:line="540" w:lineRule="exact"/>
        <w:ind w:firstLine="627" w:firstLineChars="196"/>
        <w:jc w:val="left"/>
        <w:rPr>
          <w:rFonts w:hint="eastAsia" w:ascii="仿宋" w:hAnsi="仿宋" w:eastAsia="仿宋" w:cs="仿宋_GB2312"/>
          <w:bCs/>
          <w:color w:val="auto"/>
          <w:kern w:val="0"/>
          <w:sz w:val="32"/>
          <w:szCs w:val="32"/>
        </w:rPr>
      </w:pPr>
      <w:r>
        <w:rPr>
          <w:rFonts w:hint="eastAsia" w:ascii="仿宋" w:hAnsi="仿宋" w:eastAsia="仿宋" w:cs="仿宋_GB2312"/>
          <w:bCs/>
          <w:color w:val="auto"/>
          <w:kern w:val="0"/>
          <w:sz w:val="32"/>
          <w:szCs w:val="32"/>
        </w:rPr>
        <w:t>1、福田区文联主要职责：贯彻党的文艺方针和政策，充分民挥党和政府联系文艺界的桥梁和纽带作用。</w:t>
      </w:r>
    </w:p>
    <w:p>
      <w:pPr>
        <w:spacing w:line="540" w:lineRule="exact"/>
        <w:ind w:firstLine="627" w:firstLineChars="196"/>
        <w:jc w:val="left"/>
        <w:rPr>
          <w:rFonts w:hint="eastAsia" w:ascii="仿宋" w:hAnsi="仿宋" w:eastAsia="仿宋" w:cs="仿宋_GB2312"/>
          <w:bCs/>
          <w:color w:val="auto"/>
          <w:kern w:val="0"/>
          <w:sz w:val="32"/>
          <w:szCs w:val="32"/>
        </w:rPr>
      </w:pPr>
      <w:r>
        <w:rPr>
          <w:rFonts w:hint="eastAsia" w:ascii="仿宋" w:hAnsi="仿宋" w:eastAsia="仿宋" w:cs="仿宋_GB2312"/>
          <w:bCs/>
          <w:color w:val="auto"/>
          <w:kern w:val="0"/>
          <w:sz w:val="32"/>
          <w:szCs w:val="32"/>
        </w:rPr>
        <w:t>2、负责对各艺术家协会的组织、联络、协调、服务和管理工作。</w:t>
      </w:r>
    </w:p>
    <w:p>
      <w:pPr>
        <w:spacing w:line="540" w:lineRule="exact"/>
        <w:ind w:firstLine="627" w:firstLineChars="196"/>
        <w:jc w:val="left"/>
        <w:rPr>
          <w:rFonts w:hint="eastAsia" w:ascii="仿宋" w:hAnsi="仿宋" w:eastAsia="仿宋" w:cs="仿宋_GB2312"/>
          <w:bCs/>
          <w:color w:val="auto"/>
          <w:kern w:val="0"/>
          <w:sz w:val="32"/>
          <w:szCs w:val="32"/>
        </w:rPr>
      </w:pPr>
      <w:r>
        <w:rPr>
          <w:rFonts w:hint="eastAsia" w:ascii="仿宋" w:hAnsi="仿宋" w:eastAsia="仿宋" w:cs="仿宋_GB2312"/>
          <w:bCs/>
          <w:color w:val="auto"/>
          <w:kern w:val="0"/>
          <w:sz w:val="32"/>
          <w:szCs w:val="32"/>
        </w:rPr>
        <w:t>3、组织文艺工作者和业余爱好者深入社会生活进行艺术创作，开展文艺活动，加强实践和交流。</w:t>
      </w:r>
    </w:p>
    <w:p>
      <w:pPr>
        <w:spacing w:line="540" w:lineRule="exact"/>
        <w:ind w:firstLine="627" w:firstLineChars="196"/>
        <w:jc w:val="left"/>
        <w:rPr>
          <w:rFonts w:hint="eastAsia" w:ascii="仿宋" w:hAnsi="仿宋" w:eastAsia="仿宋" w:cs="仿宋_GB2312"/>
          <w:bCs/>
          <w:color w:val="auto"/>
          <w:kern w:val="0"/>
          <w:sz w:val="32"/>
          <w:szCs w:val="32"/>
        </w:rPr>
      </w:pPr>
      <w:r>
        <w:rPr>
          <w:rFonts w:hint="eastAsia" w:ascii="仿宋" w:hAnsi="仿宋" w:eastAsia="仿宋" w:cs="仿宋_GB2312"/>
          <w:bCs/>
          <w:color w:val="auto"/>
          <w:kern w:val="0"/>
          <w:sz w:val="32"/>
          <w:szCs w:val="32"/>
        </w:rPr>
        <w:t>4、发现和培养文艺人才，不断壮大辖区文艺队伍，为辖区文艺建设服务。</w:t>
      </w:r>
    </w:p>
    <w:p>
      <w:pPr>
        <w:spacing w:line="540" w:lineRule="exact"/>
        <w:ind w:firstLine="627" w:firstLineChars="196"/>
        <w:jc w:val="left"/>
        <w:rPr>
          <w:rFonts w:hint="eastAsia" w:ascii="仿宋" w:hAnsi="仿宋" w:eastAsia="仿宋" w:cs="仿宋_GB2312"/>
          <w:bCs/>
          <w:color w:val="auto"/>
          <w:kern w:val="0"/>
          <w:sz w:val="32"/>
          <w:szCs w:val="32"/>
        </w:rPr>
      </w:pPr>
      <w:r>
        <w:rPr>
          <w:rFonts w:hint="eastAsia" w:ascii="仿宋" w:hAnsi="仿宋" w:eastAsia="仿宋" w:cs="仿宋_GB2312"/>
          <w:bCs/>
          <w:color w:val="auto"/>
          <w:kern w:val="0"/>
          <w:sz w:val="32"/>
          <w:szCs w:val="32"/>
        </w:rPr>
        <w:t>5、开展与兄弟市、区(县)文联的协作与交流，开展国际文化交流活动。</w:t>
      </w:r>
    </w:p>
    <w:p>
      <w:pPr>
        <w:spacing w:line="540" w:lineRule="exact"/>
        <w:ind w:firstLine="627" w:firstLineChars="196"/>
        <w:jc w:val="left"/>
        <w:rPr>
          <w:rFonts w:hint="eastAsia" w:ascii="仿宋" w:hAnsi="仿宋" w:eastAsia="仿宋" w:cs="仿宋_GB2312"/>
          <w:bCs/>
          <w:color w:val="auto"/>
          <w:kern w:val="0"/>
          <w:sz w:val="32"/>
          <w:szCs w:val="32"/>
        </w:rPr>
      </w:pPr>
      <w:r>
        <w:rPr>
          <w:rFonts w:hint="eastAsia" w:ascii="仿宋" w:hAnsi="仿宋" w:eastAsia="仿宋" w:cs="仿宋_GB2312"/>
          <w:bCs/>
          <w:color w:val="auto"/>
          <w:kern w:val="0"/>
          <w:sz w:val="32"/>
          <w:szCs w:val="32"/>
        </w:rPr>
        <w:t>6、依法维护会员和文艺工作者的合法权益。</w:t>
      </w:r>
    </w:p>
    <w:p>
      <w:pPr>
        <w:spacing w:line="540" w:lineRule="exact"/>
        <w:ind w:firstLine="627" w:firstLineChars="196"/>
        <w:jc w:val="left"/>
        <w:rPr>
          <w:rFonts w:hint="eastAsia" w:ascii="仿宋" w:hAnsi="仿宋" w:eastAsia="仿宋" w:cs="仿宋_GB2312"/>
          <w:bCs/>
          <w:color w:val="auto"/>
          <w:kern w:val="0"/>
          <w:sz w:val="32"/>
          <w:szCs w:val="32"/>
        </w:rPr>
      </w:pPr>
      <w:r>
        <w:rPr>
          <w:rFonts w:hint="eastAsia" w:ascii="仿宋" w:hAnsi="仿宋" w:eastAsia="仿宋" w:cs="仿宋_GB2312"/>
          <w:bCs/>
          <w:color w:val="auto"/>
          <w:kern w:val="0"/>
          <w:sz w:val="32"/>
          <w:szCs w:val="32"/>
        </w:rPr>
        <w:t>7、承办区委、区政府和上级部门交办的其他事项。</w:t>
      </w:r>
    </w:p>
    <w:p>
      <w:pPr>
        <w:rPr>
          <w:rFonts w:hint="eastAsia"/>
          <w:color w:val="auto"/>
        </w:rPr>
      </w:pPr>
    </w:p>
    <w:p>
      <w:pPr>
        <w:rPr>
          <w:rFonts w:hint="eastAsia" w:ascii="楷体_GB2312" w:hAnsi="宋体" w:eastAsia="楷体_GB2312" w:cs="宋体"/>
          <w:color w:val="auto"/>
          <w:sz w:val="32"/>
          <w:szCs w:val="32"/>
        </w:rPr>
      </w:pPr>
      <w:r>
        <w:rPr>
          <w:rFonts w:hint="eastAsia" w:ascii="仿宋_GB2312" w:hAnsi="宋体" w:eastAsia="仿宋_GB2312" w:cs="宋体"/>
          <w:color w:val="auto"/>
          <w:sz w:val="32"/>
          <w:szCs w:val="32"/>
        </w:rPr>
        <w:t xml:space="preserve">   </w:t>
      </w:r>
      <w:r>
        <w:rPr>
          <w:rFonts w:hint="eastAsia" w:ascii="楷体_GB2312" w:hAnsi="宋体" w:eastAsia="楷体_GB2312" w:cs="宋体"/>
          <w:color w:val="auto"/>
          <w:sz w:val="32"/>
          <w:szCs w:val="32"/>
        </w:rPr>
        <w:t xml:space="preserve">  </w:t>
      </w:r>
      <w:r>
        <w:rPr>
          <w:rFonts w:hint="eastAsia" w:ascii="楷体_GB2312" w:hAnsi="宋体" w:eastAsia="楷体_GB2312" w:cs="宋体"/>
          <w:b/>
          <w:color w:val="auto"/>
          <w:sz w:val="32"/>
          <w:szCs w:val="32"/>
        </w:rPr>
        <w:t xml:space="preserve"> （二）机构设置</w:t>
      </w:r>
    </w:p>
    <w:p>
      <w:pPr>
        <w:rPr>
          <w:rFonts w:hint="eastAsia" w:ascii="仿宋" w:hAnsi="仿宋" w:eastAsia="仿宋" w:cs="仿宋_GB2312"/>
          <w:bCs/>
          <w:color w:val="auto"/>
          <w:kern w:val="0"/>
          <w:sz w:val="32"/>
          <w:szCs w:val="32"/>
        </w:rPr>
      </w:pPr>
      <w:r>
        <w:rPr>
          <w:rFonts w:hint="eastAsia" w:ascii="仿宋_GB2312" w:hAnsi="宋体" w:eastAsia="仿宋_GB2312" w:cs="宋体"/>
          <w:color w:val="auto"/>
          <w:sz w:val="32"/>
          <w:szCs w:val="32"/>
        </w:rPr>
        <w:t xml:space="preserve">       </w:t>
      </w:r>
      <w:r>
        <w:rPr>
          <w:rFonts w:hint="eastAsia" w:ascii="仿宋" w:hAnsi="仿宋" w:eastAsia="仿宋" w:cs="仿宋_GB2312"/>
          <w:bCs/>
          <w:color w:val="auto"/>
          <w:kern w:val="0"/>
          <w:sz w:val="32"/>
          <w:szCs w:val="32"/>
        </w:rPr>
        <w:t>福田区文联是福田区委、区政府领导下的由福田区各文学艺术家协会及文学艺术工作者组成的人民团体，是党和政府联系文学艺术界的桥梁和纽带。按正处级建制，参照《中华人民共和国公务员法》管理。使用事业编制，不设内设机构。编制数</w:t>
      </w:r>
      <w:bookmarkStart w:id="0" w:name="bzrs"/>
      <w:bookmarkEnd w:id="0"/>
      <w:r>
        <w:rPr>
          <w:rFonts w:hint="eastAsia" w:ascii="仿宋" w:hAnsi="仿宋" w:eastAsia="仿宋" w:cs="仿宋_GB2312"/>
          <w:bCs/>
          <w:color w:val="auto"/>
          <w:kern w:val="0"/>
          <w:sz w:val="32"/>
          <w:szCs w:val="32"/>
        </w:rPr>
        <w:t>6</w:t>
      </w:r>
      <w:r>
        <w:rPr>
          <w:rFonts w:ascii="仿宋" w:hAnsi="仿宋" w:eastAsia="仿宋" w:cs="仿宋_GB2312"/>
          <w:bCs/>
          <w:color w:val="auto"/>
          <w:kern w:val="0"/>
          <w:sz w:val="32"/>
          <w:szCs w:val="32"/>
        </w:rPr>
        <w:t>人，雇员</w:t>
      </w:r>
      <w:r>
        <w:rPr>
          <w:rFonts w:hint="eastAsia" w:ascii="仿宋" w:hAnsi="仿宋" w:eastAsia="仿宋" w:cs="仿宋_GB2312"/>
          <w:bCs/>
          <w:color w:val="auto"/>
          <w:kern w:val="0"/>
          <w:sz w:val="32"/>
          <w:szCs w:val="32"/>
        </w:rPr>
        <w:t>编制数</w:t>
      </w:r>
      <w:bookmarkStart w:id="1" w:name="gyrs"/>
      <w:bookmarkEnd w:id="1"/>
      <w:r>
        <w:rPr>
          <w:rFonts w:ascii="仿宋" w:hAnsi="仿宋" w:eastAsia="仿宋" w:cs="仿宋_GB2312"/>
          <w:bCs/>
          <w:color w:val="auto"/>
          <w:kern w:val="0"/>
          <w:sz w:val="32"/>
          <w:szCs w:val="32"/>
        </w:rPr>
        <w:t>1人，劳务派遣</w:t>
      </w:r>
      <w:bookmarkStart w:id="2" w:name="lwpqrs"/>
      <w:bookmarkEnd w:id="2"/>
      <w:r>
        <w:rPr>
          <w:rFonts w:hint="eastAsia" w:ascii="仿宋" w:hAnsi="仿宋" w:eastAsia="仿宋" w:cs="仿宋_GB2312"/>
          <w:bCs/>
          <w:color w:val="auto"/>
          <w:kern w:val="0"/>
          <w:sz w:val="32"/>
          <w:szCs w:val="32"/>
        </w:rPr>
        <w:t>编制数</w:t>
      </w:r>
      <w:r>
        <w:rPr>
          <w:rFonts w:ascii="仿宋" w:hAnsi="仿宋" w:eastAsia="仿宋" w:cs="仿宋_GB2312"/>
          <w:bCs/>
          <w:color w:val="auto"/>
          <w:kern w:val="0"/>
          <w:sz w:val="32"/>
          <w:szCs w:val="32"/>
        </w:rPr>
        <w:t>2人，离退休人员</w:t>
      </w:r>
      <w:bookmarkStart w:id="3" w:name="ltxrs"/>
      <w:bookmarkEnd w:id="3"/>
      <w:r>
        <w:rPr>
          <w:rFonts w:hint="eastAsia" w:ascii="仿宋" w:hAnsi="仿宋" w:eastAsia="仿宋" w:cs="仿宋_GB2312"/>
          <w:bCs/>
          <w:color w:val="auto"/>
          <w:kern w:val="0"/>
          <w:sz w:val="32"/>
          <w:szCs w:val="32"/>
        </w:rPr>
        <w:t>4</w:t>
      </w:r>
      <w:r>
        <w:rPr>
          <w:rFonts w:ascii="仿宋" w:hAnsi="仿宋" w:eastAsia="仿宋" w:cs="仿宋_GB2312"/>
          <w:bCs/>
          <w:color w:val="auto"/>
          <w:kern w:val="0"/>
          <w:sz w:val="32"/>
          <w:szCs w:val="32"/>
        </w:rPr>
        <w:t>人</w:t>
      </w:r>
      <w:r>
        <w:rPr>
          <w:rFonts w:hint="eastAsia" w:ascii="仿宋" w:hAnsi="仿宋" w:eastAsia="仿宋" w:cs="仿宋_GB2312"/>
          <w:bCs/>
          <w:color w:val="auto"/>
          <w:kern w:val="0"/>
          <w:sz w:val="32"/>
          <w:szCs w:val="32"/>
        </w:rPr>
        <w:t>。年末实有在编人数5人，雇员1人，退休人员4人，劳务派遣2人。已实行公务用车改革，实有公务用车1辆，为定编车辆。</w:t>
      </w:r>
    </w:p>
    <w:p>
      <w:pPr>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二、</w:t>
      </w:r>
      <w:r>
        <w:rPr>
          <w:rFonts w:hint="eastAsia" w:ascii="黑体" w:hAnsi="黑体" w:eastAsia="黑体" w:cs="宋体"/>
          <w:color w:val="auto"/>
          <w:sz w:val="32"/>
          <w:szCs w:val="32"/>
          <w:lang w:eastAsia="zh-CN"/>
        </w:rPr>
        <w:t>福田区文联</w:t>
      </w:r>
      <w:r>
        <w:rPr>
          <w:rFonts w:ascii="黑体" w:hAnsi="黑体" w:eastAsia="黑体" w:cs="宋体"/>
          <w:color w:val="auto"/>
          <w:sz w:val="32"/>
          <w:szCs w:val="32"/>
        </w:rPr>
        <w:t>2017</w:t>
      </w:r>
      <w:r>
        <w:rPr>
          <w:rFonts w:hint="eastAsia" w:ascii="黑体" w:hAnsi="黑体" w:eastAsia="黑体" w:cs="宋体"/>
          <w:color w:val="auto"/>
          <w:sz w:val="32"/>
          <w:szCs w:val="32"/>
        </w:rPr>
        <w:t>年度部门决算表</w:t>
      </w:r>
    </w:p>
    <w:p>
      <w:pPr>
        <w:numPr>
          <w:ilvl w:val="0"/>
          <w:numId w:val="0"/>
        </w:numPr>
        <w:ind w:firstLine="640" w:firstLineChars="200"/>
        <w:rPr>
          <w:rFonts w:hint="eastAsia" w:ascii="仿宋_GB2312" w:eastAsia="仿宋_GB2312"/>
          <w:color w:val="auto"/>
          <w:sz w:val="32"/>
          <w:szCs w:val="32"/>
          <w:highlight w:val="none"/>
          <w:u w:val="none" w:color="auto"/>
          <w:lang w:eastAsia="zh-CN"/>
        </w:rPr>
      </w:pPr>
      <w:r>
        <w:rPr>
          <w:rFonts w:hint="eastAsia" w:ascii="仿宋_GB2312" w:eastAsia="仿宋_GB2312"/>
          <w:color w:val="auto"/>
          <w:sz w:val="32"/>
          <w:szCs w:val="32"/>
          <w:highlight w:val="none"/>
          <w:u w:val="none" w:color="auto"/>
          <w:lang w:eastAsia="zh-CN"/>
        </w:rPr>
        <w:t>（一）《收入支出决算总表》</w:t>
      </w:r>
    </w:p>
    <w:p>
      <w:pPr>
        <w:numPr>
          <w:ilvl w:val="0"/>
          <w:numId w:val="0"/>
        </w:numPr>
        <w:ind w:firstLine="640" w:firstLineChars="200"/>
        <w:rPr>
          <w:rFonts w:hint="eastAsia" w:ascii="仿宋_GB2312" w:eastAsia="仿宋_GB2312"/>
          <w:color w:val="auto"/>
          <w:sz w:val="32"/>
          <w:szCs w:val="32"/>
          <w:highlight w:val="none"/>
          <w:u w:val="none" w:color="auto"/>
          <w:lang w:eastAsia="zh-CN"/>
        </w:rPr>
      </w:pPr>
      <w:r>
        <w:rPr>
          <w:rFonts w:hint="eastAsia" w:ascii="仿宋_GB2312" w:eastAsia="仿宋_GB2312"/>
          <w:color w:val="auto"/>
          <w:sz w:val="32"/>
          <w:szCs w:val="32"/>
          <w:highlight w:val="none"/>
          <w:u w:val="none" w:color="auto"/>
          <w:lang w:eastAsia="zh-CN"/>
        </w:rPr>
        <w:t>（二）《收入</w:t>
      </w:r>
      <w:r>
        <w:rPr>
          <w:rFonts w:ascii="仿宋_GB2312" w:eastAsia="仿宋_GB2312"/>
          <w:color w:val="auto"/>
          <w:sz w:val="32"/>
          <w:szCs w:val="32"/>
          <w:highlight w:val="none"/>
          <w:u w:val="none" w:color="auto"/>
          <w:lang w:eastAsia="zh-CN"/>
        </w:rPr>
        <w:t>决算表》</w:t>
      </w:r>
    </w:p>
    <w:p>
      <w:pPr>
        <w:numPr>
          <w:ilvl w:val="0"/>
          <w:numId w:val="0"/>
        </w:numPr>
        <w:ind w:firstLine="640" w:firstLineChars="200"/>
        <w:rPr>
          <w:rFonts w:hint="eastAsia" w:ascii="仿宋_GB2312" w:eastAsia="仿宋_GB2312"/>
          <w:color w:val="auto"/>
          <w:sz w:val="32"/>
          <w:szCs w:val="32"/>
          <w:highlight w:val="none"/>
          <w:u w:val="none" w:color="auto"/>
          <w:lang w:eastAsia="zh-CN"/>
        </w:rPr>
      </w:pPr>
      <w:r>
        <w:rPr>
          <w:rFonts w:hint="eastAsia" w:ascii="仿宋_GB2312" w:eastAsia="仿宋_GB2312"/>
          <w:color w:val="auto"/>
          <w:sz w:val="32"/>
          <w:szCs w:val="32"/>
          <w:highlight w:val="none"/>
          <w:u w:val="none" w:color="auto"/>
          <w:lang w:eastAsia="zh-CN"/>
        </w:rPr>
        <w:t>（三）</w:t>
      </w:r>
      <w:r>
        <w:rPr>
          <w:rFonts w:ascii="仿宋_GB2312" w:eastAsia="仿宋_GB2312"/>
          <w:color w:val="auto"/>
          <w:sz w:val="32"/>
          <w:szCs w:val="32"/>
          <w:highlight w:val="none"/>
          <w:u w:val="none" w:color="auto"/>
          <w:lang w:eastAsia="zh-CN"/>
        </w:rPr>
        <w:t>《支出决算表》</w:t>
      </w:r>
    </w:p>
    <w:p>
      <w:pPr>
        <w:numPr>
          <w:ilvl w:val="0"/>
          <w:numId w:val="0"/>
        </w:numPr>
        <w:ind w:firstLine="640" w:firstLineChars="200"/>
        <w:rPr>
          <w:rFonts w:hint="eastAsia" w:ascii="仿宋_GB2312" w:eastAsia="仿宋_GB2312"/>
          <w:color w:val="auto"/>
          <w:sz w:val="32"/>
          <w:szCs w:val="32"/>
          <w:highlight w:val="none"/>
          <w:u w:val="none" w:color="auto"/>
          <w:lang w:eastAsia="zh-CN"/>
        </w:rPr>
      </w:pPr>
      <w:r>
        <w:rPr>
          <w:rFonts w:hint="eastAsia" w:ascii="仿宋_GB2312" w:hAnsi="宋体" w:eastAsia="仿宋_GB2312" w:cs="宋体"/>
          <w:color w:val="auto"/>
          <w:sz w:val="32"/>
          <w:szCs w:val="32"/>
          <w:highlight w:val="none"/>
          <w:u w:val="none" w:color="auto"/>
          <w:lang w:eastAsia="zh-CN"/>
        </w:rPr>
        <w:t>（四）《财政拨款收入支出决算总表》</w:t>
      </w:r>
    </w:p>
    <w:p>
      <w:pPr>
        <w:numPr>
          <w:ilvl w:val="0"/>
          <w:numId w:val="0"/>
        </w:numPr>
        <w:ind w:firstLine="640" w:firstLineChars="200"/>
        <w:rPr>
          <w:rFonts w:hint="eastAsia" w:ascii="仿宋_GB2312" w:eastAsia="仿宋_GB2312"/>
          <w:color w:val="auto"/>
          <w:sz w:val="32"/>
          <w:szCs w:val="32"/>
          <w:highlight w:val="none"/>
          <w:u w:val="none" w:color="auto"/>
          <w:lang w:eastAsia="zh-CN"/>
        </w:rPr>
      </w:pPr>
      <w:r>
        <w:rPr>
          <w:rFonts w:hint="eastAsia" w:ascii="仿宋_GB2312" w:hAnsi="宋体" w:eastAsia="仿宋_GB2312" w:cs="宋体"/>
          <w:color w:val="auto"/>
          <w:sz w:val="32"/>
          <w:szCs w:val="32"/>
          <w:highlight w:val="none"/>
          <w:u w:val="none" w:color="auto"/>
          <w:lang w:eastAsia="zh-CN"/>
        </w:rPr>
        <w:t>（五）《一般公共预算财政拨款支出决算表》</w:t>
      </w:r>
    </w:p>
    <w:p>
      <w:pPr>
        <w:numPr>
          <w:ilvl w:val="0"/>
          <w:numId w:val="0"/>
        </w:numPr>
        <w:ind w:firstLine="640" w:firstLineChars="200"/>
        <w:rPr>
          <w:rFonts w:hint="eastAsia" w:ascii="仿宋_GB2312" w:eastAsia="仿宋_GB2312"/>
          <w:color w:val="auto"/>
          <w:sz w:val="32"/>
          <w:szCs w:val="32"/>
          <w:highlight w:val="none"/>
          <w:u w:val="none" w:color="auto"/>
          <w:lang w:eastAsia="zh-CN"/>
        </w:rPr>
      </w:pPr>
      <w:r>
        <w:rPr>
          <w:rFonts w:hint="eastAsia" w:ascii="仿宋_GB2312" w:hAnsi="宋体" w:eastAsia="仿宋_GB2312" w:cs="宋体"/>
          <w:color w:val="auto"/>
          <w:sz w:val="32"/>
          <w:szCs w:val="32"/>
          <w:highlight w:val="none"/>
          <w:u w:val="none" w:color="auto"/>
          <w:lang w:eastAsia="zh-CN"/>
        </w:rPr>
        <w:t>（六）《一般公共预算财政拨款基本支出决算表》</w:t>
      </w:r>
    </w:p>
    <w:p>
      <w:pPr>
        <w:numPr>
          <w:ilvl w:val="0"/>
          <w:numId w:val="0"/>
        </w:numPr>
        <w:ind w:firstLine="640" w:firstLineChars="200"/>
        <w:rPr>
          <w:rFonts w:hint="eastAsia" w:ascii="仿宋_GB2312" w:eastAsia="仿宋_GB2312"/>
          <w:color w:val="auto"/>
          <w:sz w:val="32"/>
          <w:szCs w:val="32"/>
          <w:highlight w:val="none"/>
          <w:u w:val="none" w:color="auto"/>
          <w:lang w:eastAsia="zh-CN"/>
        </w:rPr>
      </w:pPr>
      <w:r>
        <w:rPr>
          <w:rFonts w:hint="eastAsia" w:ascii="仿宋_GB2312" w:hAnsi="宋体" w:eastAsia="仿宋_GB2312" w:cs="宋体"/>
          <w:color w:val="auto"/>
          <w:sz w:val="32"/>
          <w:szCs w:val="32"/>
          <w:highlight w:val="none"/>
          <w:u w:val="none" w:color="auto"/>
          <w:lang w:eastAsia="zh-CN"/>
        </w:rPr>
        <w:t>（七）《一般公共预算财政拨款</w:t>
      </w:r>
      <w:r>
        <w:rPr>
          <w:rFonts w:hint="eastAsia" w:ascii="仿宋_GB2312" w:eastAsia="仿宋_GB2312"/>
          <w:color w:val="auto"/>
          <w:spacing w:val="-20"/>
          <w:sz w:val="32"/>
          <w:szCs w:val="32"/>
          <w:highlight w:val="none"/>
          <w:u w:val="none" w:color="auto"/>
          <w:lang w:eastAsia="zh-CN"/>
        </w:rPr>
        <w:t>“</w:t>
      </w:r>
      <w:r>
        <w:rPr>
          <w:rFonts w:hint="eastAsia" w:ascii="仿宋_GB2312" w:hAnsi="宋体" w:eastAsia="仿宋_GB2312" w:cs="宋体"/>
          <w:color w:val="auto"/>
          <w:spacing w:val="-20"/>
          <w:sz w:val="32"/>
          <w:szCs w:val="32"/>
          <w:highlight w:val="none"/>
          <w:u w:val="none" w:color="auto"/>
          <w:lang w:eastAsia="zh-CN"/>
        </w:rPr>
        <w:t>三公</w:t>
      </w:r>
      <w:r>
        <w:rPr>
          <w:rFonts w:hint="eastAsia" w:ascii="仿宋_GB2312" w:eastAsia="仿宋_GB2312"/>
          <w:color w:val="auto"/>
          <w:spacing w:val="-20"/>
          <w:sz w:val="32"/>
          <w:szCs w:val="32"/>
          <w:highlight w:val="none"/>
          <w:u w:val="none" w:color="auto"/>
          <w:lang w:eastAsia="zh-CN"/>
        </w:rPr>
        <w:t>”</w:t>
      </w:r>
      <w:r>
        <w:rPr>
          <w:rFonts w:hint="eastAsia" w:ascii="仿宋_GB2312" w:hAnsi="宋体" w:eastAsia="仿宋_GB2312" w:cs="宋体"/>
          <w:color w:val="auto"/>
          <w:spacing w:val="-20"/>
          <w:sz w:val="32"/>
          <w:szCs w:val="32"/>
          <w:highlight w:val="none"/>
          <w:u w:val="none" w:color="auto"/>
          <w:lang w:eastAsia="zh-CN"/>
        </w:rPr>
        <w:t>经费支出决</w:t>
      </w:r>
      <w:r>
        <w:rPr>
          <w:rFonts w:hint="eastAsia" w:ascii="仿宋_GB2312" w:hAnsi="宋体" w:eastAsia="仿宋_GB2312" w:cs="宋体"/>
          <w:color w:val="auto"/>
          <w:sz w:val="32"/>
          <w:szCs w:val="32"/>
          <w:highlight w:val="none"/>
          <w:u w:val="none" w:color="auto"/>
          <w:lang w:eastAsia="zh-CN"/>
        </w:rPr>
        <w:t>算表》</w:t>
      </w:r>
    </w:p>
    <w:p>
      <w:pPr>
        <w:numPr>
          <w:ilvl w:val="0"/>
          <w:numId w:val="0"/>
        </w:numPr>
        <w:ind w:firstLine="640" w:firstLineChars="200"/>
        <w:rPr>
          <w:rFonts w:hint="eastAsia" w:ascii="仿宋_GB2312" w:eastAsia="仿宋_GB2312"/>
          <w:color w:val="auto"/>
          <w:sz w:val="32"/>
          <w:szCs w:val="32"/>
          <w:highlight w:val="none"/>
          <w:u w:val="none" w:color="auto"/>
          <w:lang w:eastAsia="zh-CN"/>
        </w:rPr>
      </w:pPr>
      <w:r>
        <w:rPr>
          <w:rFonts w:hint="eastAsia" w:ascii="仿宋_GB2312" w:hAnsi="宋体" w:eastAsia="仿宋_GB2312" w:cs="宋体"/>
          <w:color w:val="auto"/>
          <w:sz w:val="32"/>
          <w:szCs w:val="32"/>
          <w:highlight w:val="none"/>
          <w:u w:val="none" w:color="auto"/>
          <w:lang w:eastAsia="zh-CN"/>
        </w:rPr>
        <w:t>（八）《政府性基金预算财政拨款收入支出决算表》</w:t>
      </w:r>
    </w:p>
    <w:p>
      <w:pPr>
        <w:ind w:firstLine="640" w:firstLineChars="200"/>
        <w:rPr>
          <w:rFonts w:hint="eastAsia" w:ascii="黑体" w:hAnsi="黑体" w:eastAsia="黑体" w:cs="宋体"/>
          <w:color w:val="auto"/>
          <w:sz w:val="32"/>
          <w:szCs w:val="32"/>
        </w:rPr>
      </w:pPr>
    </w:p>
    <w:p>
      <w:pPr>
        <w:ind w:firstLine="640" w:firstLineChars="200"/>
        <w:rPr>
          <w:rFonts w:hint="eastAsia" w:ascii="黑体" w:hAnsi="黑体" w:eastAsia="黑体" w:cs="宋体"/>
          <w:color w:val="auto"/>
          <w:sz w:val="32"/>
          <w:szCs w:val="32"/>
        </w:rPr>
      </w:pPr>
    </w:p>
    <w:p>
      <w:pPr>
        <w:ind w:firstLine="640" w:firstLineChars="200"/>
        <w:rPr>
          <w:rFonts w:hint="eastAsia" w:ascii="黑体" w:hAnsi="黑体" w:eastAsia="黑体" w:cs="宋体"/>
          <w:color w:val="auto"/>
          <w:sz w:val="32"/>
          <w:szCs w:val="32"/>
        </w:rPr>
      </w:pPr>
    </w:p>
    <w:p>
      <w:pPr>
        <w:ind w:firstLine="640" w:firstLineChars="200"/>
        <w:rPr>
          <w:rFonts w:hint="eastAsia" w:ascii="黑体" w:hAnsi="黑体" w:eastAsia="黑体" w:cs="宋体"/>
          <w:color w:val="auto"/>
          <w:sz w:val="32"/>
          <w:szCs w:val="32"/>
        </w:rPr>
      </w:pPr>
    </w:p>
    <w:p>
      <w:pPr>
        <w:ind w:firstLine="640" w:firstLineChars="200"/>
        <w:rPr>
          <w:rFonts w:hint="eastAsia" w:ascii="黑体" w:hAnsi="黑体" w:eastAsia="黑体" w:cs="宋体"/>
          <w:color w:val="auto"/>
          <w:sz w:val="32"/>
          <w:szCs w:val="32"/>
        </w:rPr>
      </w:pPr>
    </w:p>
    <w:p>
      <w:pPr>
        <w:ind w:firstLine="640" w:firstLineChars="200"/>
        <w:rPr>
          <w:rFonts w:hint="eastAsia" w:ascii="黑体" w:hAnsi="黑体" w:eastAsia="黑体" w:cs="宋体"/>
          <w:color w:val="auto"/>
          <w:sz w:val="32"/>
          <w:szCs w:val="32"/>
        </w:rPr>
      </w:pPr>
    </w:p>
    <w:p>
      <w:pPr>
        <w:ind w:firstLine="640" w:firstLineChars="200"/>
        <w:rPr>
          <w:rFonts w:hint="eastAsia" w:ascii="黑体" w:hAnsi="黑体" w:eastAsia="黑体" w:cs="宋体"/>
          <w:color w:val="auto"/>
          <w:sz w:val="32"/>
          <w:szCs w:val="32"/>
        </w:rPr>
      </w:pPr>
    </w:p>
    <w:p>
      <w:pPr>
        <w:ind w:firstLine="640" w:firstLineChars="200"/>
        <w:rPr>
          <w:rFonts w:hint="eastAsia" w:ascii="黑体" w:hAnsi="黑体" w:eastAsia="黑体" w:cs="宋体"/>
          <w:color w:val="auto"/>
          <w:sz w:val="32"/>
          <w:szCs w:val="32"/>
        </w:rPr>
      </w:pPr>
    </w:p>
    <w:p>
      <w:pPr>
        <w:ind w:firstLine="640" w:firstLineChars="200"/>
        <w:rPr>
          <w:rFonts w:hint="eastAsia" w:ascii="黑体" w:hAnsi="黑体" w:eastAsia="黑体" w:cs="宋体"/>
          <w:color w:val="auto"/>
          <w:sz w:val="32"/>
          <w:szCs w:val="32"/>
        </w:rPr>
      </w:pPr>
    </w:p>
    <w:p>
      <w:pPr>
        <w:rPr>
          <w:rFonts w:hint="eastAsia" w:ascii="黑体" w:hAnsi="黑体" w:eastAsia="黑体" w:cs="宋体"/>
          <w:color w:val="auto"/>
          <w:sz w:val="32"/>
          <w:szCs w:val="32"/>
        </w:rPr>
      </w:pPr>
    </w:p>
    <w:p>
      <w:pPr>
        <w:rPr>
          <w:rFonts w:hint="eastAsia" w:ascii="黑体" w:hAnsi="黑体" w:eastAsia="黑体" w:cs="宋体"/>
          <w:color w:val="auto"/>
          <w:sz w:val="32"/>
          <w:szCs w:val="32"/>
        </w:rPr>
        <w:sectPr>
          <w:footerReference r:id="rId3" w:type="default"/>
          <w:footerReference r:id="rId4" w:type="even"/>
          <w:pgSz w:w="11906" w:h="16838"/>
          <w:pgMar w:top="1440" w:right="1800" w:bottom="1440" w:left="1800" w:header="851" w:footer="1192" w:gutter="0"/>
          <w:pgNumType w:fmt="decimal"/>
          <w:cols w:space="720" w:num="1"/>
          <w:docGrid w:type="lines" w:linePitch="312" w:charSpace="0"/>
        </w:sectPr>
      </w:pPr>
    </w:p>
    <w:p>
      <w:pPr>
        <w:pStyle w:val="2"/>
        <w:spacing w:line="370" w:lineRule="exact"/>
        <w:ind w:left="0"/>
        <w:jc w:val="right"/>
        <w:rPr>
          <w:rFonts w:hint="eastAsia" w:ascii="PMingLiU" w:eastAsia="PMingLiU"/>
          <w:color w:val="auto"/>
          <w:highlight w:val="none"/>
          <w:lang w:eastAsia="zh-CN"/>
        </w:rPr>
      </w:pPr>
      <w:r>
        <w:rPr>
          <w:rFonts w:hint="eastAsia" w:ascii="PMingLiU" w:eastAsia="PMingLiU"/>
          <w:color w:val="auto"/>
          <w:highlight w:val="none"/>
          <w:lang w:eastAsia="zh-CN"/>
        </w:rPr>
        <w:t>收入支出决算总表</w:t>
      </w:r>
    </w:p>
    <w:p>
      <w:pPr>
        <w:spacing w:before="1" w:beforeLines="0"/>
        <w:ind w:right="184"/>
        <w:jc w:val="center"/>
        <w:rPr>
          <w:color w:val="auto"/>
          <w:sz w:val="18"/>
          <w:highlight w:val="none"/>
          <w:lang w:eastAsia="zh-CN"/>
        </w:rPr>
        <w:sectPr>
          <w:pgSz w:w="16840" w:h="11910" w:orient="landscape"/>
          <w:pgMar w:top="920" w:right="380" w:bottom="280" w:left="380" w:header="720" w:footer="113" w:gutter="0"/>
          <w:pgNumType w:fmt="decimal"/>
          <w:cols w:equalWidth="0" w:num="2">
            <w:col w:w="9238" w:space="40"/>
            <w:col w:w="6802"/>
          </w:cols>
          <w:docGrid w:type="lines" w:linePitch="312" w:charSpace="0"/>
        </w:sectPr>
      </w:pPr>
      <w:r>
        <w:rPr>
          <w:rFonts w:hint="eastAsia"/>
          <w:color w:val="auto"/>
          <w:sz w:val="18"/>
          <w:highlight w:val="none"/>
          <w:lang w:val="en-US" w:eastAsia="zh-CN"/>
        </w:rPr>
        <w:t xml:space="preserve">    </w:t>
      </w:r>
    </w:p>
    <w:tbl>
      <w:tblPr>
        <w:tblStyle w:val="5"/>
        <w:tblW w:w="14415"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83"/>
        <w:gridCol w:w="539"/>
        <w:gridCol w:w="3655"/>
        <w:gridCol w:w="3803"/>
        <w:gridCol w:w="539"/>
        <w:gridCol w:w="1"/>
        <w:gridCol w:w="2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2" w:hRule="atLeast"/>
        </w:trPr>
        <w:tc>
          <w:tcPr>
            <w:tcW w:w="3183" w:type="dxa"/>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Arial" w:hAnsi="Arial" w:cs="Arial"/>
                <w:i w:val="0"/>
                <w:color w:val="auto"/>
                <w:sz w:val="20"/>
                <w:szCs w:val="20"/>
                <w:u w:val="none"/>
              </w:rPr>
            </w:pPr>
          </w:p>
        </w:tc>
        <w:tc>
          <w:tcPr>
            <w:tcW w:w="539" w:type="dxa"/>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Arial" w:hAnsi="Arial" w:cs="Arial"/>
                <w:i w:val="0"/>
                <w:color w:val="auto"/>
                <w:sz w:val="20"/>
                <w:szCs w:val="20"/>
                <w:u w:val="none"/>
              </w:rPr>
            </w:pPr>
          </w:p>
        </w:tc>
        <w:tc>
          <w:tcPr>
            <w:tcW w:w="3655" w:type="dxa"/>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Arial" w:hAnsi="Arial" w:cs="Arial"/>
                <w:i w:val="0"/>
                <w:color w:val="auto"/>
                <w:sz w:val="20"/>
                <w:szCs w:val="20"/>
                <w:u w:val="none"/>
              </w:rPr>
            </w:pPr>
          </w:p>
        </w:tc>
        <w:tc>
          <w:tcPr>
            <w:tcW w:w="3803" w:type="dxa"/>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Arial" w:hAnsi="Arial" w:cs="Arial"/>
                <w:i w:val="0"/>
                <w:color w:val="auto"/>
                <w:sz w:val="20"/>
                <w:szCs w:val="20"/>
                <w:u w:val="none"/>
              </w:rPr>
            </w:pPr>
          </w:p>
        </w:tc>
        <w:tc>
          <w:tcPr>
            <w:tcW w:w="539" w:type="dxa"/>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Arial" w:hAnsi="Arial" w:cs="Arial"/>
                <w:i w:val="0"/>
                <w:color w:val="auto"/>
                <w:sz w:val="20"/>
                <w:szCs w:val="20"/>
                <w:u w:val="none"/>
              </w:rPr>
            </w:pPr>
          </w:p>
        </w:tc>
        <w:tc>
          <w:tcPr>
            <w:tcW w:w="2696" w:type="dxa"/>
            <w:gridSpan w:val="2"/>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right"/>
              <w:textAlignment w:val="bottom"/>
              <w:outlineLvl w:val="9"/>
              <w:rPr>
                <w:rFonts w:hint="eastAsia" w:ascii="宋体" w:hAnsi="宋体" w:eastAsia="宋体" w:cs="宋体"/>
                <w:i w:val="0"/>
                <w:color w:val="auto"/>
                <w:sz w:val="20"/>
                <w:szCs w:val="20"/>
                <w:u w:val="none"/>
              </w:rPr>
            </w:pPr>
            <w:r>
              <w:rPr>
                <w:color w:val="auto"/>
                <w:sz w:val="20"/>
                <w:szCs w:val="20"/>
                <w:highlight w:val="none"/>
                <w:lang w:eastAsia="zh-CN"/>
              </w:rPr>
              <w:t>公开</w:t>
            </w:r>
            <w:r>
              <w:rPr>
                <w:rFonts w:hint="eastAsia" w:ascii="宋体" w:hAnsi="宋体" w:eastAsia="宋体" w:cs="宋体"/>
                <w:i w:val="0"/>
                <w:color w:val="auto"/>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1" w:hRule="atLeast"/>
        </w:trPr>
        <w:tc>
          <w:tcPr>
            <w:tcW w:w="318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bottom"/>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部门：深圳市福田区文学艺术界联合会</w:t>
            </w:r>
          </w:p>
        </w:tc>
        <w:tc>
          <w:tcPr>
            <w:tcW w:w="539" w:type="dxa"/>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Arial" w:hAnsi="Arial" w:cs="Arial"/>
                <w:i w:val="0"/>
                <w:color w:val="auto"/>
                <w:sz w:val="20"/>
                <w:szCs w:val="20"/>
                <w:u w:val="none"/>
              </w:rPr>
            </w:pPr>
          </w:p>
        </w:tc>
        <w:tc>
          <w:tcPr>
            <w:tcW w:w="3655" w:type="dxa"/>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Arial" w:hAnsi="Arial" w:cs="Arial"/>
                <w:i w:val="0"/>
                <w:color w:val="auto"/>
                <w:sz w:val="20"/>
                <w:szCs w:val="20"/>
                <w:u w:val="none"/>
              </w:rPr>
            </w:pPr>
          </w:p>
        </w:tc>
        <w:tc>
          <w:tcPr>
            <w:tcW w:w="3803" w:type="dxa"/>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Arial" w:hAnsi="Arial" w:cs="Arial"/>
                <w:i w:val="0"/>
                <w:color w:val="auto"/>
                <w:sz w:val="20"/>
                <w:szCs w:val="20"/>
                <w:u w:val="none"/>
              </w:rPr>
            </w:pPr>
          </w:p>
        </w:tc>
        <w:tc>
          <w:tcPr>
            <w:tcW w:w="539" w:type="dxa"/>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default" w:ascii="Arial" w:hAnsi="Arial" w:cs="Arial"/>
                <w:i w:val="0"/>
                <w:color w:val="auto"/>
                <w:sz w:val="20"/>
                <w:szCs w:val="20"/>
                <w:u w:val="none"/>
              </w:rPr>
            </w:pPr>
          </w:p>
        </w:tc>
        <w:tc>
          <w:tcPr>
            <w:tcW w:w="2696" w:type="dxa"/>
            <w:gridSpan w:val="2"/>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right"/>
              <w:textAlignment w:val="bottom"/>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377"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收入</w:t>
            </w:r>
          </w:p>
        </w:tc>
        <w:tc>
          <w:tcPr>
            <w:tcW w:w="7038" w:type="dxa"/>
            <w:gridSpan w:val="4"/>
            <w:tcBorders>
              <w:top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3655"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695"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3655"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695"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一、财政拨款收入</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925.34</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一、一般公共服务支出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831.79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其中：政府性基金预算财政拨款</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二、外交支出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二、上级补助收入</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三、国防支出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三、事业收入</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四、公共安全支出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四、经营收入</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五、教育支出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五、附属单位上缴收入</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六、科学技术支出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六、其他收入</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0.05</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七、文化体育与传媒支出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八、社会保障和就业支出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九、医疗卫生与计划生育支出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十、节能环保支出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十一、城乡社区支出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十二、农林水支出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十三、交通运输支出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十四、资源勘探信息等支出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十五、商业服务业等支出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十六、金融支出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十七、援助其他地区支出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十八、国土海洋气象等支出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十九、住房保障支出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二十、粮油物资储备支出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二十一、其他支出</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本年收入合计</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925.39</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本年支出合计</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920.96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用事业基金弥补收支差额</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结余分配</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年初结转和结余</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15.17</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其中：提取职工福利基金</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其中：项目支出结转和结余</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12.95</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转入事业基金</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年末结转和结余</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其中：项目支出结转和结余</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right"/>
              <w:outlineLvl w:val="9"/>
              <w:rPr>
                <w:rFonts w:hint="eastAsia" w:ascii="宋体" w:hAnsi="宋体" w:eastAsia="宋体" w:cs="宋体"/>
                <w:i w:val="0"/>
                <w:color w:val="auto"/>
                <w:sz w:val="20"/>
                <w:szCs w:val="20"/>
                <w:u w:val="none"/>
              </w:rPr>
            </w:pP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183" w:type="dxa"/>
            <w:tcBorders>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539"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365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940.57</w:t>
            </w:r>
          </w:p>
        </w:tc>
        <w:tc>
          <w:tcPr>
            <w:tcW w:w="3803" w:type="dxa"/>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540" w:type="dxa"/>
            <w:gridSpan w:val="2"/>
            <w:tcBorders>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w:t>
            </w:r>
          </w:p>
        </w:tc>
        <w:tc>
          <w:tcPr>
            <w:tcW w:w="26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righ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940.57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4415" w:type="dxa"/>
            <w:gridSpan w:val="7"/>
            <w:shd w:val="clear" w:color="auto" w:fill="auto"/>
            <w:vAlign w:val="center"/>
          </w:tcPr>
          <w:p>
            <w:pPr>
              <w:spacing w:before="94" w:beforeLines="0"/>
              <w:ind w:left="172"/>
              <w:rPr>
                <w:rFonts w:hint="eastAsia" w:ascii="宋体" w:hAnsi="宋体" w:eastAsia="宋体" w:cs="宋体"/>
                <w:i w:val="0"/>
                <w:color w:val="auto"/>
                <w:sz w:val="22"/>
                <w:szCs w:val="22"/>
                <w:u w:val="none"/>
              </w:rPr>
            </w:pPr>
            <w:r>
              <w:rPr>
                <w:color w:val="auto"/>
                <w:w w:val="105"/>
                <w:sz w:val="20"/>
                <w:szCs w:val="20"/>
                <w:highlight w:val="none"/>
                <w:lang w:eastAsia="zh-CN"/>
              </w:rPr>
              <w:t>注：</w:t>
            </w:r>
            <w:r>
              <w:rPr>
                <w:rFonts w:hint="eastAsia"/>
                <w:color w:val="auto"/>
                <w:w w:val="105"/>
                <w:sz w:val="20"/>
                <w:szCs w:val="20"/>
                <w:highlight w:val="none"/>
                <w:lang w:eastAsia="zh-CN"/>
              </w:rPr>
              <w:t>本表反映部门本年度的总收支和年末结转结余情况。</w:t>
            </w:r>
          </w:p>
        </w:tc>
      </w:tr>
    </w:tbl>
    <w:p>
      <w:pPr>
        <w:rPr>
          <w:color w:val="auto"/>
          <w:highlight w:val="none"/>
          <w:lang w:eastAsia="zh-CN"/>
        </w:rPr>
      </w:pPr>
    </w:p>
    <w:p>
      <w:pPr>
        <w:rPr>
          <w:color w:val="auto"/>
          <w:highlight w:val="none"/>
          <w:lang w:eastAsia="zh-CN"/>
        </w:rPr>
      </w:pPr>
    </w:p>
    <w:p>
      <w:pPr>
        <w:spacing w:line="393" w:lineRule="exact"/>
        <w:jc w:val="center"/>
        <w:rPr>
          <w:rFonts w:hint="eastAsia" w:ascii="PMingLiU" w:eastAsia="PMingLiU"/>
          <w:color w:val="auto"/>
          <w:sz w:val="32"/>
          <w:highlight w:val="none"/>
          <w:lang w:eastAsia="zh-CN"/>
        </w:rPr>
      </w:pPr>
      <w:r>
        <w:rPr>
          <w:rFonts w:hint="eastAsia" w:ascii="PMingLiU" w:eastAsia="PMingLiU"/>
          <w:color w:val="auto"/>
          <w:sz w:val="32"/>
          <w:highlight w:val="none"/>
          <w:lang w:eastAsia="zh-CN"/>
        </w:rPr>
        <w:t>收入决算表</w:t>
      </w:r>
    </w:p>
    <w:p>
      <w:pPr>
        <w:rPr>
          <w:color w:val="auto"/>
          <w:highlight w:val="none"/>
          <w:lang w:eastAsia="zh-CN"/>
        </w:rPr>
      </w:pPr>
    </w:p>
    <w:tbl>
      <w:tblPr>
        <w:tblStyle w:val="5"/>
        <w:tblW w:w="14445" w:type="dxa"/>
        <w:tblInd w:w="7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1"/>
        <w:gridCol w:w="288"/>
        <w:gridCol w:w="662"/>
        <w:gridCol w:w="118"/>
        <w:gridCol w:w="834"/>
        <w:gridCol w:w="3066"/>
        <w:gridCol w:w="1789"/>
        <w:gridCol w:w="1511"/>
        <w:gridCol w:w="1590"/>
        <w:gridCol w:w="955"/>
        <w:gridCol w:w="1145"/>
        <w:gridCol w:w="955"/>
        <w:gridCol w:w="392"/>
        <w:gridCol w:w="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1" w:type="dxa"/>
            <w:shd w:val="clear" w:color="auto" w:fill="auto"/>
            <w:vAlign w:val="bottom"/>
          </w:tcPr>
          <w:p>
            <w:pPr>
              <w:rPr>
                <w:rFonts w:hint="eastAsia" w:ascii="Arial" w:hAnsi="Arial" w:cs="Arial"/>
                <w:i w:val="0"/>
                <w:color w:val="auto"/>
                <w:sz w:val="20"/>
                <w:szCs w:val="20"/>
                <w:u w:val="none"/>
              </w:rPr>
            </w:pPr>
          </w:p>
        </w:tc>
        <w:tc>
          <w:tcPr>
            <w:tcW w:w="950" w:type="dxa"/>
            <w:gridSpan w:val="2"/>
            <w:shd w:val="clear" w:color="auto" w:fill="auto"/>
            <w:vAlign w:val="bottom"/>
          </w:tcPr>
          <w:p>
            <w:pPr>
              <w:rPr>
                <w:rFonts w:hint="default" w:ascii="Arial" w:hAnsi="Arial" w:cs="Arial"/>
                <w:i w:val="0"/>
                <w:color w:val="auto"/>
                <w:sz w:val="20"/>
                <w:szCs w:val="20"/>
                <w:u w:val="none"/>
              </w:rPr>
            </w:pPr>
          </w:p>
        </w:tc>
        <w:tc>
          <w:tcPr>
            <w:tcW w:w="952" w:type="dxa"/>
            <w:gridSpan w:val="2"/>
            <w:shd w:val="clear" w:color="auto" w:fill="auto"/>
            <w:vAlign w:val="bottom"/>
          </w:tcPr>
          <w:p>
            <w:pPr>
              <w:rPr>
                <w:rFonts w:hint="default" w:ascii="Arial" w:hAnsi="Arial" w:cs="Arial"/>
                <w:i w:val="0"/>
                <w:color w:val="auto"/>
                <w:sz w:val="20"/>
                <w:szCs w:val="20"/>
                <w:u w:val="none"/>
              </w:rPr>
            </w:pPr>
          </w:p>
        </w:tc>
        <w:tc>
          <w:tcPr>
            <w:tcW w:w="3066" w:type="dxa"/>
            <w:shd w:val="clear" w:color="auto" w:fill="auto"/>
            <w:vAlign w:val="bottom"/>
          </w:tcPr>
          <w:p>
            <w:pPr>
              <w:rPr>
                <w:rFonts w:hint="default" w:ascii="Arial" w:hAnsi="Arial" w:cs="Arial"/>
                <w:i w:val="0"/>
                <w:color w:val="auto"/>
                <w:sz w:val="20"/>
                <w:szCs w:val="20"/>
                <w:u w:val="none"/>
              </w:rPr>
            </w:pPr>
          </w:p>
        </w:tc>
        <w:tc>
          <w:tcPr>
            <w:tcW w:w="1789" w:type="dxa"/>
            <w:shd w:val="clear" w:color="auto" w:fill="auto"/>
            <w:vAlign w:val="bottom"/>
          </w:tcPr>
          <w:p>
            <w:pPr>
              <w:rPr>
                <w:rFonts w:hint="default" w:ascii="Arial" w:hAnsi="Arial" w:cs="Arial"/>
                <w:i w:val="0"/>
                <w:color w:val="auto"/>
                <w:sz w:val="20"/>
                <w:szCs w:val="20"/>
                <w:u w:val="none"/>
              </w:rPr>
            </w:pPr>
          </w:p>
        </w:tc>
        <w:tc>
          <w:tcPr>
            <w:tcW w:w="1511" w:type="dxa"/>
            <w:shd w:val="clear" w:color="auto" w:fill="auto"/>
            <w:vAlign w:val="bottom"/>
          </w:tcPr>
          <w:p>
            <w:pPr>
              <w:rPr>
                <w:rFonts w:hint="default" w:ascii="Arial" w:hAnsi="Arial" w:cs="Arial"/>
                <w:i w:val="0"/>
                <w:color w:val="auto"/>
                <w:sz w:val="20"/>
                <w:szCs w:val="20"/>
                <w:u w:val="none"/>
              </w:rPr>
            </w:pPr>
          </w:p>
        </w:tc>
        <w:tc>
          <w:tcPr>
            <w:tcW w:w="1590" w:type="dxa"/>
            <w:shd w:val="clear" w:color="auto" w:fill="auto"/>
            <w:vAlign w:val="bottom"/>
          </w:tcPr>
          <w:p>
            <w:pPr>
              <w:rPr>
                <w:rFonts w:hint="default" w:ascii="Arial" w:hAnsi="Arial" w:cs="Arial"/>
                <w:i w:val="0"/>
                <w:color w:val="auto"/>
                <w:sz w:val="20"/>
                <w:szCs w:val="20"/>
                <w:u w:val="none"/>
              </w:rPr>
            </w:pPr>
          </w:p>
        </w:tc>
        <w:tc>
          <w:tcPr>
            <w:tcW w:w="955" w:type="dxa"/>
            <w:shd w:val="clear" w:color="auto" w:fill="auto"/>
            <w:vAlign w:val="bottom"/>
          </w:tcPr>
          <w:p>
            <w:pPr>
              <w:rPr>
                <w:rFonts w:hint="default" w:ascii="Arial" w:hAnsi="Arial" w:cs="Arial"/>
                <w:i w:val="0"/>
                <w:color w:val="auto"/>
                <w:sz w:val="20"/>
                <w:szCs w:val="20"/>
                <w:u w:val="none"/>
              </w:rPr>
            </w:pPr>
          </w:p>
        </w:tc>
        <w:tc>
          <w:tcPr>
            <w:tcW w:w="1145" w:type="dxa"/>
            <w:shd w:val="clear" w:color="auto" w:fill="auto"/>
            <w:vAlign w:val="bottom"/>
          </w:tcPr>
          <w:p>
            <w:pPr>
              <w:rPr>
                <w:rFonts w:hint="default" w:ascii="Arial" w:hAnsi="Arial" w:cs="Arial"/>
                <w:i w:val="0"/>
                <w:color w:val="auto"/>
                <w:sz w:val="20"/>
                <w:szCs w:val="20"/>
                <w:u w:val="none"/>
              </w:rPr>
            </w:pPr>
          </w:p>
        </w:tc>
        <w:tc>
          <w:tcPr>
            <w:tcW w:w="2026"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公开</w:t>
            </w:r>
            <w:r>
              <w:rPr>
                <w:rFonts w:hint="eastAsia" w:ascii="宋体" w:hAnsi="宋体" w:eastAsia="宋体" w:cs="宋体"/>
                <w:i w:val="0"/>
                <w:color w:val="auto"/>
                <w:kern w:val="0"/>
                <w:sz w:val="20"/>
                <w:szCs w:val="20"/>
                <w:u w:val="none"/>
                <w:lang w:val="en-US" w:eastAsia="zh-CN" w:bidi="ar"/>
              </w:rPr>
              <w:t>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trPr>
        <w:tc>
          <w:tcPr>
            <w:tcW w:w="5429" w:type="dxa"/>
            <w:gridSpan w:val="6"/>
            <w:shd w:val="clear" w:color="auto" w:fill="auto"/>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部门：深圳市福田区文学艺术界联合会</w:t>
            </w:r>
          </w:p>
        </w:tc>
        <w:tc>
          <w:tcPr>
            <w:tcW w:w="1789" w:type="dxa"/>
            <w:shd w:val="clear" w:color="auto" w:fill="auto"/>
            <w:vAlign w:val="bottom"/>
          </w:tcPr>
          <w:p>
            <w:pPr>
              <w:rPr>
                <w:rFonts w:hint="default" w:ascii="Arial" w:hAnsi="Arial" w:cs="Arial"/>
                <w:i w:val="0"/>
                <w:color w:val="auto"/>
                <w:sz w:val="20"/>
                <w:szCs w:val="20"/>
                <w:u w:val="none"/>
              </w:rPr>
            </w:pPr>
          </w:p>
        </w:tc>
        <w:tc>
          <w:tcPr>
            <w:tcW w:w="1511" w:type="dxa"/>
            <w:shd w:val="clear" w:color="auto" w:fill="auto"/>
            <w:vAlign w:val="bottom"/>
          </w:tcPr>
          <w:p>
            <w:pPr>
              <w:rPr>
                <w:rFonts w:hint="default" w:ascii="Arial" w:hAnsi="Arial" w:cs="Arial"/>
                <w:i w:val="0"/>
                <w:color w:val="auto"/>
                <w:sz w:val="20"/>
                <w:szCs w:val="20"/>
                <w:u w:val="none"/>
              </w:rPr>
            </w:pPr>
          </w:p>
        </w:tc>
        <w:tc>
          <w:tcPr>
            <w:tcW w:w="1590" w:type="dxa"/>
            <w:shd w:val="clear" w:color="auto" w:fill="auto"/>
            <w:vAlign w:val="bottom"/>
          </w:tcPr>
          <w:p>
            <w:pPr>
              <w:rPr>
                <w:rFonts w:hint="default" w:ascii="Arial" w:hAnsi="Arial" w:cs="Arial"/>
                <w:i w:val="0"/>
                <w:color w:val="auto"/>
                <w:sz w:val="20"/>
                <w:szCs w:val="20"/>
                <w:u w:val="none"/>
              </w:rPr>
            </w:pPr>
          </w:p>
        </w:tc>
        <w:tc>
          <w:tcPr>
            <w:tcW w:w="955" w:type="dxa"/>
            <w:shd w:val="clear" w:color="auto" w:fill="auto"/>
            <w:vAlign w:val="bottom"/>
          </w:tcPr>
          <w:p>
            <w:pPr>
              <w:rPr>
                <w:rFonts w:hint="default" w:ascii="Arial" w:hAnsi="Arial" w:cs="Arial"/>
                <w:i w:val="0"/>
                <w:color w:val="auto"/>
                <w:sz w:val="20"/>
                <w:szCs w:val="20"/>
                <w:u w:val="none"/>
              </w:rPr>
            </w:pPr>
          </w:p>
        </w:tc>
        <w:tc>
          <w:tcPr>
            <w:tcW w:w="1145" w:type="dxa"/>
            <w:shd w:val="clear" w:color="auto" w:fill="auto"/>
            <w:vAlign w:val="bottom"/>
          </w:tcPr>
          <w:p>
            <w:pPr>
              <w:rPr>
                <w:rFonts w:hint="default" w:ascii="Arial" w:hAnsi="Arial" w:cs="Arial"/>
                <w:i w:val="0"/>
                <w:color w:val="auto"/>
                <w:sz w:val="20"/>
                <w:szCs w:val="20"/>
                <w:u w:val="none"/>
              </w:rPr>
            </w:pPr>
          </w:p>
        </w:tc>
        <w:tc>
          <w:tcPr>
            <w:tcW w:w="2026"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3" w:type="dxa"/>
            <w:gridSpan w:val="5"/>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3066"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78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本年收入合计</w:t>
            </w:r>
          </w:p>
        </w:tc>
        <w:tc>
          <w:tcPr>
            <w:tcW w:w="151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财政拨款收入</w:t>
            </w:r>
          </w:p>
        </w:tc>
        <w:tc>
          <w:tcPr>
            <w:tcW w:w="159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上级补助收入</w:t>
            </w:r>
          </w:p>
        </w:tc>
        <w:tc>
          <w:tcPr>
            <w:tcW w:w="95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事业收入</w:t>
            </w:r>
          </w:p>
        </w:tc>
        <w:tc>
          <w:tcPr>
            <w:tcW w:w="114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经营收入</w:t>
            </w:r>
          </w:p>
        </w:tc>
        <w:tc>
          <w:tcPr>
            <w:tcW w:w="95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附属单位上缴收入</w:t>
            </w:r>
          </w:p>
        </w:tc>
        <w:tc>
          <w:tcPr>
            <w:tcW w:w="1071" w:type="dxa"/>
            <w:gridSpan w:val="2"/>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3" w:type="dxa"/>
            <w:gridSpan w:val="5"/>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306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78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51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5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95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14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95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071"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3" w:type="dxa"/>
            <w:gridSpan w:val="5"/>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306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78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51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5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95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14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95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071"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363" w:type="dxa"/>
            <w:gridSpan w:val="5"/>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306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78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51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5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95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14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95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071"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49" w:type="dxa"/>
            <w:gridSpan w:val="2"/>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780"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83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30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7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51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59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95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1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95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07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49" w:type="dxa"/>
            <w:gridSpan w:val="2"/>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8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83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30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925.39</w:t>
            </w:r>
          </w:p>
        </w:tc>
        <w:tc>
          <w:tcPr>
            <w:tcW w:w="15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925.34</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11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10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63"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30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一般公共服务支出</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836.23</w:t>
            </w:r>
          </w:p>
        </w:tc>
        <w:tc>
          <w:tcPr>
            <w:tcW w:w="15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836.18</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1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63"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20129</w:t>
            </w:r>
          </w:p>
        </w:tc>
        <w:tc>
          <w:tcPr>
            <w:tcW w:w="30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群众团体事务</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836.23</w:t>
            </w:r>
          </w:p>
        </w:tc>
        <w:tc>
          <w:tcPr>
            <w:tcW w:w="15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836.18</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1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63"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2012901</w:t>
            </w:r>
          </w:p>
        </w:tc>
        <w:tc>
          <w:tcPr>
            <w:tcW w:w="30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行政运行</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308.63</w:t>
            </w:r>
          </w:p>
        </w:tc>
        <w:tc>
          <w:tcPr>
            <w:tcW w:w="15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308.63</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1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63"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2012902</w:t>
            </w:r>
          </w:p>
        </w:tc>
        <w:tc>
          <w:tcPr>
            <w:tcW w:w="30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一般行政管理事务</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527.61</w:t>
            </w:r>
          </w:p>
        </w:tc>
        <w:tc>
          <w:tcPr>
            <w:tcW w:w="15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527.55</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1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63"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w:t>
            </w:r>
          </w:p>
        </w:tc>
        <w:tc>
          <w:tcPr>
            <w:tcW w:w="30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社会保障和就业支出</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5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1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63"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20805</w:t>
            </w:r>
          </w:p>
        </w:tc>
        <w:tc>
          <w:tcPr>
            <w:tcW w:w="30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行政事业单位离退休</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5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1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63"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2080501</w:t>
            </w:r>
          </w:p>
        </w:tc>
        <w:tc>
          <w:tcPr>
            <w:tcW w:w="30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归口管理的行政单位离退休</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5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1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79" w:type="dxa"/>
          <w:trHeight w:val="301" w:hRule="atLeast"/>
        </w:trPr>
        <w:tc>
          <w:tcPr>
            <w:tcW w:w="13766" w:type="dxa"/>
            <w:gridSpan w:val="13"/>
            <w:shd w:val="clear" w:color="auto" w:fill="auto"/>
            <w:vAlign w:val="center"/>
          </w:tcPr>
          <w:p>
            <w:pPr>
              <w:spacing w:before="26" w:beforeLines="0"/>
              <w:ind w:left="168"/>
              <w:rPr>
                <w:rFonts w:hint="eastAsia" w:ascii="宋体" w:hAnsi="宋体" w:eastAsia="宋体" w:cs="宋体"/>
                <w:i w:val="0"/>
                <w:color w:val="auto"/>
                <w:sz w:val="22"/>
                <w:szCs w:val="22"/>
                <w:u w:val="none"/>
              </w:rPr>
            </w:pPr>
            <w:r>
              <w:rPr>
                <w:color w:val="auto"/>
                <w:sz w:val="24"/>
                <w:highlight w:val="none"/>
                <w:lang w:eastAsia="zh-CN"/>
              </w:rPr>
              <w:t>注：</w:t>
            </w:r>
            <w:r>
              <w:rPr>
                <w:rFonts w:hint="eastAsia"/>
                <w:color w:val="auto"/>
                <w:sz w:val="24"/>
                <w:highlight w:val="none"/>
                <w:lang w:eastAsia="zh-CN"/>
              </w:rPr>
              <w:t>本表反映部门本年度取得的各项收入情况。</w:t>
            </w:r>
          </w:p>
        </w:tc>
      </w:tr>
    </w:tbl>
    <w:p>
      <w:pPr>
        <w:rPr>
          <w:color w:val="auto"/>
          <w:highlight w:val="none"/>
          <w:lang w:eastAsia="zh-CN"/>
        </w:rPr>
      </w:pPr>
    </w:p>
    <w:p>
      <w:pPr>
        <w:pStyle w:val="7"/>
        <w:spacing w:line="393" w:lineRule="exact"/>
        <w:ind w:left="0"/>
        <w:jc w:val="center"/>
        <w:rPr>
          <w:rFonts w:hint="eastAsia" w:ascii="PMingLiU" w:eastAsia="PMingLiU"/>
          <w:color w:val="auto"/>
          <w:highlight w:val="none"/>
          <w:lang w:eastAsia="zh-CN"/>
        </w:rPr>
      </w:pPr>
      <w:r>
        <w:rPr>
          <w:rFonts w:hint="eastAsia" w:ascii="PMingLiU" w:eastAsia="PMingLiU"/>
          <w:color w:val="auto"/>
          <w:highlight w:val="none"/>
          <w:lang w:eastAsia="zh-CN"/>
        </w:rPr>
        <w:t>支出决算表</w:t>
      </w:r>
    </w:p>
    <w:p>
      <w:pPr>
        <w:rPr>
          <w:color w:val="auto"/>
          <w:highlight w:val="none"/>
          <w:lang w:eastAsia="zh-CN"/>
        </w:rPr>
      </w:pPr>
    </w:p>
    <w:p>
      <w:pPr>
        <w:rPr>
          <w:color w:val="auto"/>
          <w:highlight w:val="none"/>
          <w:lang w:eastAsia="zh-CN"/>
        </w:rPr>
      </w:pPr>
    </w:p>
    <w:tbl>
      <w:tblPr>
        <w:tblStyle w:val="5"/>
        <w:tblW w:w="14505" w:type="dxa"/>
        <w:tblInd w:w="7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951"/>
        <w:gridCol w:w="952"/>
        <w:gridCol w:w="3885"/>
        <w:gridCol w:w="1788"/>
        <w:gridCol w:w="1322"/>
        <w:gridCol w:w="1215"/>
        <w:gridCol w:w="1230"/>
        <w:gridCol w:w="1005"/>
        <w:gridCol w:w="36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2" w:type="dxa"/>
            <w:shd w:val="clear" w:color="auto" w:fill="auto"/>
            <w:vAlign w:val="bottom"/>
          </w:tcPr>
          <w:p>
            <w:pPr>
              <w:rPr>
                <w:rFonts w:hint="eastAsia" w:ascii="Arial" w:hAnsi="Arial" w:cs="Arial"/>
                <w:i w:val="0"/>
                <w:color w:val="auto"/>
                <w:sz w:val="20"/>
                <w:szCs w:val="20"/>
                <w:u w:val="none"/>
              </w:rPr>
            </w:pPr>
          </w:p>
        </w:tc>
        <w:tc>
          <w:tcPr>
            <w:tcW w:w="951" w:type="dxa"/>
            <w:shd w:val="clear" w:color="auto" w:fill="auto"/>
            <w:vAlign w:val="bottom"/>
          </w:tcPr>
          <w:p>
            <w:pPr>
              <w:rPr>
                <w:rFonts w:hint="default" w:ascii="Arial" w:hAnsi="Arial" w:cs="Arial"/>
                <w:i w:val="0"/>
                <w:color w:val="auto"/>
                <w:sz w:val="20"/>
                <w:szCs w:val="20"/>
                <w:u w:val="none"/>
              </w:rPr>
            </w:pPr>
          </w:p>
        </w:tc>
        <w:tc>
          <w:tcPr>
            <w:tcW w:w="952" w:type="dxa"/>
            <w:shd w:val="clear" w:color="auto" w:fill="auto"/>
            <w:vAlign w:val="bottom"/>
          </w:tcPr>
          <w:p>
            <w:pPr>
              <w:rPr>
                <w:rFonts w:hint="default" w:ascii="Arial" w:hAnsi="Arial" w:cs="Arial"/>
                <w:i w:val="0"/>
                <w:color w:val="auto"/>
                <w:sz w:val="20"/>
                <w:szCs w:val="20"/>
                <w:u w:val="none"/>
              </w:rPr>
            </w:pPr>
          </w:p>
        </w:tc>
        <w:tc>
          <w:tcPr>
            <w:tcW w:w="3885" w:type="dxa"/>
            <w:shd w:val="clear" w:color="auto" w:fill="auto"/>
            <w:vAlign w:val="bottom"/>
          </w:tcPr>
          <w:p>
            <w:pPr>
              <w:rPr>
                <w:rFonts w:hint="default" w:ascii="Arial" w:hAnsi="Arial" w:cs="Arial"/>
                <w:i w:val="0"/>
                <w:color w:val="auto"/>
                <w:sz w:val="20"/>
                <w:szCs w:val="20"/>
                <w:u w:val="none"/>
              </w:rPr>
            </w:pPr>
          </w:p>
        </w:tc>
        <w:tc>
          <w:tcPr>
            <w:tcW w:w="1788" w:type="dxa"/>
            <w:shd w:val="clear" w:color="auto" w:fill="auto"/>
            <w:vAlign w:val="bottom"/>
          </w:tcPr>
          <w:p>
            <w:pPr>
              <w:rPr>
                <w:rFonts w:hint="default" w:ascii="Arial" w:hAnsi="Arial" w:cs="Arial"/>
                <w:i w:val="0"/>
                <w:color w:val="auto"/>
                <w:sz w:val="20"/>
                <w:szCs w:val="20"/>
                <w:u w:val="none"/>
              </w:rPr>
            </w:pPr>
          </w:p>
        </w:tc>
        <w:tc>
          <w:tcPr>
            <w:tcW w:w="1322" w:type="dxa"/>
            <w:shd w:val="clear" w:color="auto" w:fill="auto"/>
            <w:vAlign w:val="bottom"/>
          </w:tcPr>
          <w:p>
            <w:pPr>
              <w:rPr>
                <w:rFonts w:hint="default" w:ascii="Arial" w:hAnsi="Arial" w:cs="Arial"/>
                <w:i w:val="0"/>
                <w:color w:val="auto"/>
                <w:sz w:val="20"/>
                <w:szCs w:val="20"/>
                <w:u w:val="none"/>
              </w:rPr>
            </w:pPr>
          </w:p>
        </w:tc>
        <w:tc>
          <w:tcPr>
            <w:tcW w:w="1215" w:type="dxa"/>
            <w:shd w:val="clear" w:color="auto" w:fill="auto"/>
            <w:vAlign w:val="bottom"/>
          </w:tcPr>
          <w:p>
            <w:pPr>
              <w:rPr>
                <w:rFonts w:hint="default" w:ascii="Arial" w:hAnsi="Arial" w:cs="Arial"/>
                <w:i w:val="0"/>
                <w:color w:val="auto"/>
                <w:sz w:val="20"/>
                <w:szCs w:val="20"/>
                <w:u w:val="none"/>
              </w:rPr>
            </w:pPr>
          </w:p>
        </w:tc>
        <w:tc>
          <w:tcPr>
            <w:tcW w:w="1230" w:type="dxa"/>
            <w:shd w:val="clear" w:color="auto" w:fill="auto"/>
            <w:vAlign w:val="bottom"/>
          </w:tcPr>
          <w:p>
            <w:pPr>
              <w:rPr>
                <w:rFonts w:hint="default" w:ascii="Arial" w:hAnsi="Arial" w:cs="Arial"/>
                <w:i w:val="0"/>
                <w:color w:val="auto"/>
                <w:sz w:val="20"/>
                <w:szCs w:val="20"/>
                <w:u w:val="none"/>
              </w:rPr>
            </w:pPr>
          </w:p>
        </w:tc>
        <w:tc>
          <w:tcPr>
            <w:tcW w:w="1365" w:type="dxa"/>
            <w:gridSpan w:val="2"/>
            <w:shd w:val="clear" w:color="auto" w:fill="auto"/>
            <w:vAlign w:val="bottom"/>
          </w:tcPr>
          <w:p>
            <w:pPr>
              <w:rPr>
                <w:rFonts w:hint="default" w:ascii="Arial" w:hAnsi="Arial" w:cs="Arial"/>
                <w:i w:val="0"/>
                <w:color w:val="auto"/>
                <w:sz w:val="20"/>
                <w:szCs w:val="20"/>
                <w:u w:val="none"/>
              </w:rPr>
            </w:pPr>
          </w:p>
        </w:tc>
        <w:tc>
          <w:tcPr>
            <w:tcW w:w="136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公开</w:t>
            </w:r>
            <w:r>
              <w:rPr>
                <w:rFonts w:hint="eastAsia" w:ascii="宋体" w:hAnsi="宋体" w:eastAsia="宋体" w:cs="宋体"/>
                <w:i w:val="0"/>
                <w:color w:val="auto"/>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220" w:type="dxa"/>
            <w:gridSpan w:val="4"/>
            <w:shd w:val="clear" w:color="auto" w:fill="auto"/>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部门：深圳市福田区文学艺术界联合会</w:t>
            </w:r>
          </w:p>
        </w:tc>
        <w:tc>
          <w:tcPr>
            <w:tcW w:w="1788" w:type="dxa"/>
            <w:shd w:val="clear" w:color="auto" w:fill="auto"/>
            <w:vAlign w:val="bottom"/>
          </w:tcPr>
          <w:p>
            <w:pPr>
              <w:rPr>
                <w:rFonts w:hint="default" w:ascii="Arial" w:hAnsi="Arial" w:cs="Arial"/>
                <w:i w:val="0"/>
                <w:color w:val="auto"/>
                <w:sz w:val="20"/>
                <w:szCs w:val="20"/>
                <w:u w:val="none"/>
              </w:rPr>
            </w:pPr>
          </w:p>
        </w:tc>
        <w:tc>
          <w:tcPr>
            <w:tcW w:w="1322" w:type="dxa"/>
            <w:shd w:val="clear" w:color="auto" w:fill="auto"/>
            <w:vAlign w:val="bottom"/>
          </w:tcPr>
          <w:p>
            <w:pPr>
              <w:rPr>
                <w:rFonts w:hint="default" w:ascii="Arial" w:hAnsi="Arial" w:cs="Arial"/>
                <w:i w:val="0"/>
                <w:color w:val="auto"/>
                <w:sz w:val="20"/>
                <w:szCs w:val="20"/>
                <w:u w:val="none"/>
              </w:rPr>
            </w:pPr>
          </w:p>
        </w:tc>
        <w:tc>
          <w:tcPr>
            <w:tcW w:w="1215" w:type="dxa"/>
            <w:shd w:val="clear" w:color="auto" w:fill="auto"/>
            <w:vAlign w:val="bottom"/>
          </w:tcPr>
          <w:p>
            <w:pPr>
              <w:rPr>
                <w:rFonts w:hint="default" w:ascii="Arial" w:hAnsi="Arial" w:cs="Arial"/>
                <w:i w:val="0"/>
                <w:color w:val="auto"/>
                <w:sz w:val="20"/>
                <w:szCs w:val="20"/>
                <w:u w:val="none"/>
              </w:rPr>
            </w:pPr>
          </w:p>
        </w:tc>
        <w:tc>
          <w:tcPr>
            <w:tcW w:w="1230" w:type="dxa"/>
            <w:shd w:val="clear" w:color="auto" w:fill="auto"/>
            <w:vAlign w:val="bottom"/>
          </w:tcPr>
          <w:p>
            <w:pPr>
              <w:rPr>
                <w:rFonts w:hint="default" w:ascii="Arial" w:hAnsi="Arial" w:cs="Arial"/>
                <w:i w:val="0"/>
                <w:color w:val="auto"/>
                <w:sz w:val="20"/>
                <w:szCs w:val="20"/>
                <w:u w:val="none"/>
              </w:rPr>
            </w:pPr>
          </w:p>
        </w:tc>
        <w:tc>
          <w:tcPr>
            <w:tcW w:w="1365" w:type="dxa"/>
            <w:gridSpan w:val="2"/>
            <w:shd w:val="clear" w:color="auto" w:fill="auto"/>
            <w:vAlign w:val="bottom"/>
          </w:tcPr>
          <w:p>
            <w:pPr>
              <w:rPr>
                <w:rFonts w:hint="default" w:ascii="Arial" w:hAnsi="Arial" w:cs="Arial"/>
                <w:i w:val="0"/>
                <w:color w:val="auto"/>
                <w:sz w:val="20"/>
                <w:szCs w:val="20"/>
                <w:u w:val="none"/>
              </w:rPr>
            </w:pPr>
          </w:p>
        </w:tc>
        <w:tc>
          <w:tcPr>
            <w:tcW w:w="136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35"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388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788"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本年支出合计</w:t>
            </w:r>
          </w:p>
        </w:tc>
        <w:tc>
          <w:tcPr>
            <w:tcW w:w="1322"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21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123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上缴上级支出</w:t>
            </w:r>
          </w:p>
        </w:tc>
        <w:tc>
          <w:tcPr>
            <w:tcW w:w="1365" w:type="dxa"/>
            <w:gridSpan w:val="2"/>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经营支出</w:t>
            </w:r>
          </w:p>
        </w:tc>
        <w:tc>
          <w:tcPr>
            <w:tcW w:w="136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3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388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78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32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2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23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365"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36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3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388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78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32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2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23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365"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36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3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388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78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32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2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23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365"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36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32"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95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95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388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78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3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23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36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3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32"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95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95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388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7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920.96</w:t>
            </w:r>
          </w:p>
        </w:tc>
        <w:tc>
          <w:tcPr>
            <w:tcW w:w="13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400.01</w:t>
            </w:r>
          </w:p>
        </w:tc>
        <w:tc>
          <w:tcPr>
            <w:tcW w:w="1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520.95</w:t>
            </w:r>
          </w:p>
        </w:tc>
        <w:tc>
          <w:tcPr>
            <w:tcW w:w="12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136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3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38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一般公共服务支出</w:t>
            </w:r>
          </w:p>
        </w:tc>
        <w:tc>
          <w:tcPr>
            <w:tcW w:w="17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831.79</w:t>
            </w:r>
          </w:p>
        </w:tc>
        <w:tc>
          <w:tcPr>
            <w:tcW w:w="13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310.84</w:t>
            </w:r>
          </w:p>
        </w:tc>
        <w:tc>
          <w:tcPr>
            <w:tcW w:w="1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520.95</w:t>
            </w:r>
          </w:p>
        </w:tc>
        <w:tc>
          <w:tcPr>
            <w:tcW w:w="12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3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20129</w:t>
            </w:r>
          </w:p>
        </w:tc>
        <w:tc>
          <w:tcPr>
            <w:tcW w:w="38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群众团体事务</w:t>
            </w:r>
          </w:p>
        </w:tc>
        <w:tc>
          <w:tcPr>
            <w:tcW w:w="17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831.79</w:t>
            </w:r>
          </w:p>
        </w:tc>
        <w:tc>
          <w:tcPr>
            <w:tcW w:w="13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310.84</w:t>
            </w:r>
          </w:p>
        </w:tc>
        <w:tc>
          <w:tcPr>
            <w:tcW w:w="1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520.95</w:t>
            </w:r>
          </w:p>
        </w:tc>
        <w:tc>
          <w:tcPr>
            <w:tcW w:w="12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3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2012901</w:t>
            </w:r>
          </w:p>
        </w:tc>
        <w:tc>
          <w:tcPr>
            <w:tcW w:w="38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行政运行</w:t>
            </w:r>
          </w:p>
        </w:tc>
        <w:tc>
          <w:tcPr>
            <w:tcW w:w="17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310.84</w:t>
            </w:r>
          </w:p>
        </w:tc>
        <w:tc>
          <w:tcPr>
            <w:tcW w:w="13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310.84</w:t>
            </w:r>
          </w:p>
        </w:tc>
        <w:tc>
          <w:tcPr>
            <w:tcW w:w="1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3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2012902</w:t>
            </w:r>
          </w:p>
        </w:tc>
        <w:tc>
          <w:tcPr>
            <w:tcW w:w="38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一般行政管理事务</w:t>
            </w:r>
          </w:p>
        </w:tc>
        <w:tc>
          <w:tcPr>
            <w:tcW w:w="17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520.95</w:t>
            </w:r>
          </w:p>
        </w:tc>
        <w:tc>
          <w:tcPr>
            <w:tcW w:w="13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520.95</w:t>
            </w:r>
          </w:p>
        </w:tc>
        <w:tc>
          <w:tcPr>
            <w:tcW w:w="12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3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w:t>
            </w:r>
          </w:p>
        </w:tc>
        <w:tc>
          <w:tcPr>
            <w:tcW w:w="38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社会保障和就业支出</w:t>
            </w:r>
          </w:p>
        </w:tc>
        <w:tc>
          <w:tcPr>
            <w:tcW w:w="17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3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3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20805</w:t>
            </w:r>
          </w:p>
        </w:tc>
        <w:tc>
          <w:tcPr>
            <w:tcW w:w="38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行政事业单位离退休</w:t>
            </w:r>
          </w:p>
        </w:tc>
        <w:tc>
          <w:tcPr>
            <w:tcW w:w="17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3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3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2080501</w:t>
            </w:r>
          </w:p>
        </w:tc>
        <w:tc>
          <w:tcPr>
            <w:tcW w:w="38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归口管理的行政单位离退休</w:t>
            </w:r>
          </w:p>
        </w:tc>
        <w:tc>
          <w:tcPr>
            <w:tcW w:w="17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3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35"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3885"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17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3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2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2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365"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3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35"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3885"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17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3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2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2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365"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3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35"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3885"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178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3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2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2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365"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3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725" w:type="dxa"/>
          <w:trHeight w:val="301" w:hRule="atLeast"/>
        </w:trPr>
        <w:tc>
          <w:tcPr>
            <w:tcW w:w="12780"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color w:val="auto"/>
                <w:sz w:val="24"/>
                <w:highlight w:val="none"/>
                <w:lang w:eastAsia="zh-CN"/>
              </w:rPr>
              <w:t>注：</w:t>
            </w:r>
            <w:r>
              <w:rPr>
                <w:rFonts w:hint="eastAsia"/>
                <w:color w:val="auto"/>
                <w:sz w:val="24"/>
                <w:highlight w:val="none"/>
                <w:lang w:eastAsia="zh-CN"/>
              </w:rPr>
              <w:t>本表反映部门本年度各项支出情况。</w:t>
            </w:r>
          </w:p>
        </w:tc>
      </w:tr>
    </w:tbl>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spacing w:line="358" w:lineRule="exact"/>
        <w:jc w:val="center"/>
        <w:rPr>
          <w:rFonts w:hint="eastAsia" w:ascii="PMingLiU" w:eastAsia="PMingLiU"/>
          <w:color w:val="auto"/>
          <w:sz w:val="29"/>
          <w:highlight w:val="none"/>
          <w:lang w:eastAsia="zh-CN"/>
        </w:rPr>
      </w:pPr>
      <w:r>
        <w:rPr>
          <w:rFonts w:hint="eastAsia" w:ascii="PMingLiU" w:eastAsia="PMingLiU"/>
          <w:color w:val="auto"/>
          <w:sz w:val="29"/>
          <w:highlight w:val="none"/>
          <w:lang w:eastAsia="zh-CN"/>
        </w:rPr>
        <w:t>财政拨款收入支出决算总表</w:t>
      </w:r>
    </w:p>
    <w:tbl>
      <w:tblPr>
        <w:tblStyle w:val="5"/>
        <w:tblW w:w="14550" w:type="dxa"/>
        <w:tblInd w:w="7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13"/>
        <w:gridCol w:w="523"/>
        <w:gridCol w:w="2827"/>
        <w:gridCol w:w="3651"/>
        <w:gridCol w:w="523"/>
        <w:gridCol w:w="1528"/>
        <w:gridCol w:w="974"/>
        <w:gridCol w:w="1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13" w:type="dxa"/>
            <w:shd w:val="clear" w:color="auto" w:fill="auto"/>
            <w:vAlign w:val="bottom"/>
          </w:tcPr>
          <w:p>
            <w:pPr>
              <w:rPr>
                <w:rFonts w:hint="eastAsia" w:ascii="Arial" w:hAnsi="Arial" w:cs="Arial"/>
                <w:i w:val="0"/>
                <w:color w:val="auto"/>
                <w:sz w:val="20"/>
                <w:szCs w:val="20"/>
                <w:u w:val="none"/>
              </w:rPr>
            </w:pPr>
          </w:p>
        </w:tc>
        <w:tc>
          <w:tcPr>
            <w:tcW w:w="523" w:type="dxa"/>
            <w:shd w:val="clear" w:color="auto" w:fill="auto"/>
            <w:vAlign w:val="bottom"/>
          </w:tcPr>
          <w:p>
            <w:pPr>
              <w:rPr>
                <w:rFonts w:hint="default" w:ascii="Arial" w:hAnsi="Arial" w:cs="Arial"/>
                <w:i w:val="0"/>
                <w:color w:val="auto"/>
                <w:sz w:val="20"/>
                <w:szCs w:val="20"/>
                <w:u w:val="none"/>
              </w:rPr>
            </w:pPr>
          </w:p>
        </w:tc>
        <w:tc>
          <w:tcPr>
            <w:tcW w:w="2827" w:type="dxa"/>
            <w:shd w:val="clear" w:color="auto" w:fill="auto"/>
            <w:vAlign w:val="bottom"/>
          </w:tcPr>
          <w:p>
            <w:pPr>
              <w:rPr>
                <w:rFonts w:hint="default" w:ascii="Arial" w:hAnsi="Arial" w:cs="Arial"/>
                <w:i w:val="0"/>
                <w:color w:val="auto"/>
                <w:sz w:val="20"/>
                <w:szCs w:val="20"/>
                <w:u w:val="none"/>
              </w:rPr>
            </w:pPr>
          </w:p>
        </w:tc>
        <w:tc>
          <w:tcPr>
            <w:tcW w:w="3651" w:type="dxa"/>
            <w:shd w:val="clear" w:color="auto" w:fill="auto"/>
            <w:vAlign w:val="bottom"/>
          </w:tcPr>
          <w:p>
            <w:pPr>
              <w:rPr>
                <w:rFonts w:hint="default" w:ascii="Arial" w:hAnsi="Arial" w:cs="Arial"/>
                <w:i w:val="0"/>
                <w:color w:val="auto"/>
                <w:sz w:val="20"/>
                <w:szCs w:val="20"/>
                <w:u w:val="none"/>
              </w:rPr>
            </w:pPr>
          </w:p>
        </w:tc>
        <w:tc>
          <w:tcPr>
            <w:tcW w:w="523" w:type="dxa"/>
            <w:shd w:val="clear" w:color="auto" w:fill="auto"/>
            <w:vAlign w:val="bottom"/>
          </w:tcPr>
          <w:p>
            <w:pPr>
              <w:rPr>
                <w:rFonts w:hint="default" w:ascii="Arial" w:hAnsi="Arial" w:cs="Arial"/>
                <w:i w:val="0"/>
                <w:color w:val="auto"/>
                <w:sz w:val="20"/>
                <w:szCs w:val="20"/>
                <w:u w:val="none"/>
              </w:rPr>
            </w:pPr>
          </w:p>
        </w:tc>
        <w:tc>
          <w:tcPr>
            <w:tcW w:w="1528" w:type="dxa"/>
            <w:shd w:val="clear" w:color="auto" w:fill="auto"/>
            <w:vAlign w:val="bottom"/>
          </w:tcPr>
          <w:p>
            <w:pPr>
              <w:rPr>
                <w:rFonts w:hint="default" w:ascii="Arial" w:hAnsi="Arial" w:cs="Arial"/>
                <w:i w:val="0"/>
                <w:color w:val="auto"/>
                <w:sz w:val="20"/>
                <w:szCs w:val="20"/>
                <w:u w:val="none"/>
              </w:rPr>
            </w:pPr>
          </w:p>
        </w:tc>
        <w:tc>
          <w:tcPr>
            <w:tcW w:w="974" w:type="dxa"/>
            <w:shd w:val="clear" w:color="auto" w:fill="auto"/>
            <w:vAlign w:val="bottom"/>
          </w:tcPr>
          <w:p>
            <w:pPr>
              <w:rPr>
                <w:rFonts w:hint="default" w:ascii="Arial" w:hAnsi="Arial" w:cs="Arial"/>
                <w:i w:val="0"/>
                <w:color w:val="auto"/>
                <w:sz w:val="20"/>
                <w:szCs w:val="20"/>
                <w:u w:val="none"/>
              </w:rPr>
            </w:pPr>
          </w:p>
        </w:tc>
        <w:tc>
          <w:tcPr>
            <w:tcW w:w="191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公开</w:t>
            </w:r>
            <w:r>
              <w:rPr>
                <w:rFonts w:hint="eastAsia" w:ascii="宋体" w:hAnsi="宋体" w:eastAsia="宋体" w:cs="宋体"/>
                <w:i w:val="0"/>
                <w:color w:val="auto"/>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963" w:type="dxa"/>
            <w:gridSpan w:val="3"/>
            <w:shd w:val="clear" w:color="auto" w:fill="auto"/>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部门：深圳市福田区文学艺术界联合会</w:t>
            </w:r>
          </w:p>
        </w:tc>
        <w:tc>
          <w:tcPr>
            <w:tcW w:w="3651" w:type="dxa"/>
            <w:shd w:val="clear" w:color="auto" w:fill="auto"/>
            <w:vAlign w:val="bottom"/>
          </w:tcPr>
          <w:p>
            <w:pPr>
              <w:rPr>
                <w:rFonts w:hint="default" w:ascii="Arial" w:hAnsi="Arial" w:cs="Arial"/>
                <w:i w:val="0"/>
                <w:color w:val="auto"/>
                <w:sz w:val="20"/>
                <w:szCs w:val="20"/>
                <w:u w:val="none"/>
              </w:rPr>
            </w:pPr>
          </w:p>
        </w:tc>
        <w:tc>
          <w:tcPr>
            <w:tcW w:w="523" w:type="dxa"/>
            <w:shd w:val="clear" w:color="auto" w:fill="auto"/>
            <w:vAlign w:val="bottom"/>
          </w:tcPr>
          <w:p>
            <w:pPr>
              <w:rPr>
                <w:rFonts w:hint="default" w:ascii="Arial" w:hAnsi="Arial" w:cs="Arial"/>
                <w:i w:val="0"/>
                <w:color w:val="auto"/>
                <w:sz w:val="20"/>
                <w:szCs w:val="20"/>
                <w:u w:val="none"/>
              </w:rPr>
            </w:pPr>
          </w:p>
        </w:tc>
        <w:tc>
          <w:tcPr>
            <w:tcW w:w="1528" w:type="dxa"/>
            <w:shd w:val="clear" w:color="auto" w:fill="auto"/>
            <w:vAlign w:val="bottom"/>
          </w:tcPr>
          <w:p>
            <w:pPr>
              <w:rPr>
                <w:rFonts w:hint="default" w:ascii="Arial" w:hAnsi="Arial" w:cs="Arial"/>
                <w:i w:val="0"/>
                <w:color w:val="auto"/>
                <w:sz w:val="20"/>
                <w:szCs w:val="20"/>
                <w:u w:val="none"/>
              </w:rPr>
            </w:pPr>
          </w:p>
        </w:tc>
        <w:tc>
          <w:tcPr>
            <w:tcW w:w="974" w:type="dxa"/>
            <w:shd w:val="clear" w:color="auto" w:fill="auto"/>
            <w:vAlign w:val="bottom"/>
          </w:tcPr>
          <w:p>
            <w:pPr>
              <w:rPr>
                <w:rFonts w:hint="default" w:ascii="Arial" w:hAnsi="Arial" w:cs="Arial"/>
                <w:i w:val="0"/>
                <w:color w:val="auto"/>
                <w:sz w:val="20"/>
                <w:szCs w:val="20"/>
                <w:u w:val="none"/>
              </w:rPr>
            </w:pPr>
          </w:p>
        </w:tc>
        <w:tc>
          <w:tcPr>
            <w:tcW w:w="191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963"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     入</w:t>
            </w:r>
          </w:p>
        </w:tc>
        <w:tc>
          <w:tcPr>
            <w:tcW w:w="8587" w:type="dxa"/>
            <w:gridSpan w:val="5"/>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613"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52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282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365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52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1528"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97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一般公共预算财政拨款</w:t>
            </w:r>
          </w:p>
        </w:tc>
        <w:tc>
          <w:tcPr>
            <w:tcW w:w="191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613"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52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282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365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52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52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97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91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523"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282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523"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52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97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91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28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925.34</w:t>
            </w: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831.79</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831.79</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8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七、文化体育与传媒支出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九、医疗卫生与计划生育支出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十四、资源勘探信息等支出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十八、国土海洋气象等支出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二十一、其他支出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28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925.34</w:t>
            </w: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920.96</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920.96</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年初财政拨款结转和结余</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28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14.90</w:t>
            </w: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年末财政拨款结转和结余</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19.28</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19.28</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一般公共预算财政拨款</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28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14.90</w:t>
            </w:r>
          </w:p>
        </w:tc>
        <w:tc>
          <w:tcPr>
            <w:tcW w:w="3651"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152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97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91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政府性基金预算财政拨款</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28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3651"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152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97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91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28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3651"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52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97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191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613"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28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940.24</w:t>
            </w:r>
          </w:p>
        </w:tc>
        <w:tc>
          <w:tcPr>
            <w:tcW w:w="365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940.24</w:t>
            </w:r>
          </w:p>
        </w:tc>
        <w:tc>
          <w:tcPr>
            <w:tcW w:w="97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940.24</w:t>
            </w:r>
          </w:p>
        </w:tc>
        <w:tc>
          <w:tcPr>
            <w:tcW w:w="19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bl>
    <w:p>
      <w:pPr>
        <w:spacing w:before="91" w:beforeLines="0"/>
        <w:ind w:left="174" w:firstLine="630" w:firstLineChars="300"/>
        <w:rPr>
          <w:rFonts w:hint="eastAsia"/>
          <w:color w:val="auto"/>
          <w:highlight w:val="none"/>
          <w:lang w:eastAsia="zh-CN"/>
        </w:rPr>
      </w:pPr>
      <w:r>
        <w:rPr>
          <w:color w:val="auto"/>
          <w:highlight w:val="none"/>
          <w:lang w:eastAsia="zh-CN"/>
        </w:rPr>
        <w:t>注：</w:t>
      </w:r>
      <w:r>
        <w:rPr>
          <w:rFonts w:hint="eastAsia"/>
          <w:color w:val="auto"/>
          <w:highlight w:val="none"/>
          <w:lang w:eastAsia="zh-CN"/>
        </w:rPr>
        <w:t>本表反映部门本年度一般公共预算财政拨款和政府性基金预算财政拨款的总收支和年末结转结余情况。</w:t>
      </w: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ind w:left="174" w:firstLine="630" w:firstLineChars="300"/>
        <w:rPr>
          <w:rFonts w:hint="eastAsia"/>
          <w:color w:val="auto"/>
          <w:highlight w:val="none"/>
          <w:lang w:eastAsia="zh-CN"/>
        </w:rPr>
      </w:pPr>
    </w:p>
    <w:p>
      <w:pPr>
        <w:spacing w:before="91" w:beforeLines="0"/>
        <w:jc w:val="center"/>
        <w:rPr>
          <w:rFonts w:hint="eastAsia" w:ascii="PMingLiU" w:eastAsia="PMingLiU"/>
          <w:color w:val="auto"/>
          <w:w w:val="95"/>
          <w:sz w:val="32"/>
          <w:szCs w:val="32"/>
          <w:highlight w:val="none"/>
          <w:lang w:eastAsia="zh-CN"/>
        </w:rPr>
      </w:pPr>
      <w:r>
        <w:rPr>
          <w:rFonts w:hint="eastAsia" w:ascii="PMingLiU" w:eastAsia="PMingLiU"/>
          <w:color w:val="auto"/>
          <w:w w:val="95"/>
          <w:sz w:val="32"/>
          <w:szCs w:val="32"/>
          <w:highlight w:val="none"/>
          <w:lang w:eastAsia="zh-CN"/>
        </w:rPr>
        <w:t>一般公共预算财政拨款支出决算表</w:t>
      </w:r>
    </w:p>
    <w:tbl>
      <w:tblPr>
        <w:tblStyle w:val="5"/>
        <w:tblW w:w="14575" w:type="dxa"/>
        <w:tblInd w:w="7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
        <w:gridCol w:w="210"/>
        <w:gridCol w:w="360"/>
        <w:gridCol w:w="140"/>
        <w:gridCol w:w="257"/>
        <w:gridCol w:w="452"/>
        <w:gridCol w:w="2106"/>
        <w:gridCol w:w="452"/>
        <w:gridCol w:w="298"/>
        <w:gridCol w:w="494"/>
        <w:gridCol w:w="218"/>
        <w:gridCol w:w="234"/>
        <w:gridCol w:w="260"/>
        <w:gridCol w:w="452"/>
        <w:gridCol w:w="127"/>
        <w:gridCol w:w="664"/>
        <w:gridCol w:w="50"/>
        <w:gridCol w:w="402"/>
        <w:gridCol w:w="262"/>
        <w:gridCol w:w="282"/>
        <w:gridCol w:w="170"/>
        <w:gridCol w:w="544"/>
        <w:gridCol w:w="338"/>
        <w:gridCol w:w="452"/>
        <w:gridCol w:w="262"/>
        <w:gridCol w:w="193"/>
        <w:gridCol w:w="259"/>
        <w:gridCol w:w="455"/>
        <w:gridCol w:w="338"/>
        <w:gridCol w:w="452"/>
        <w:gridCol w:w="229"/>
        <w:gridCol w:w="33"/>
        <w:gridCol w:w="452"/>
        <w:gridCol w:w="229"/>
        <w:gridCol w:w="563"/>
        <w:gridCol w:w="150"/>
        <w:gridCol w:w="302"/>
        <w:gridCol w:w="521"/>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0" w:type="dxa"/>
            <w:shd w:val="clear" w:color="auto" w:fill="auto"/>
            <w:vAlign w:val="bottom"/>
          </w:tcPr>
          <w:p>
            <w:pPr>
              <w:rPr>
                <w:rFonts w:hint="eastAsia" w:ascii="Arial" w:hAnsi="Arial" w:cs="Arial"/>
                <w:i w:val="0"/>
                <w:color w:val="auto"/>
                <w:sz w:val="20"/>
                <w:szCs w:val="20"/>
                <w:u w:val="none"/>
              </w:rPr>
            </w:pPr>
          </w:p>
        </w:tc>
        <w:tc>
          <w:tcPr>
            <w:tcW w:w="710" w:type="dxa"/>
            <w:gridSpan w:val="3"/>
            <w:shd w:val="clear" w:color="auto" w:fill="auto"/>
            <w:vAlign w:val="bottom"/>
          </w:tcPr>
          <w:p>
            <w:pPr>
              <w:rPr>
                <w:rFonts w:hint="default" w:ascii="Arial" w:hAnsi="Arial" w:cs="Arial"/>
                <w:i w:val="0"/>
                <w:color w:val="auto"/>
                <w:sz w:val="20"/>
                <w:szCs w:val="20"/>
                <w:u w:val="none"/>
              </w:rPr>
            </w:pPr>
          </w:p>
        </w:tc>
        <w:tc>
          <w:tcPr>
            <w:tcW w:w="709" w:type="dxa"/>
            <w:gridSpan w:val="2"/>
            <w:shd w:val="clear" w:color="auto" w:fill="auto"/>
            <w:vAlign w:val="bottom"/>
          </w:tcPr>
          <w:p>
            <w:pPr>
              <w:rPr>
                <w:rFonts w:hint="default" w:ascii="Arial" w:hAnsi="Arial" w:cs="Arial"/>
                <w:i w:val="0"/>
                <w:color w:val="auto"/>
                <w:sz w:val="20"/>
                <w:szCs w:val="20"/>
                <w:u w:val="none"/>
              </w:rPr>
            </w:pPr>
          </w:p>
        </w:tc>
        <w:tc>
          <w:tcPr>
            <w:tcW w:w="2558" w:type="dxa"/>
            <w:gridSpan w:val="2"/>
            <w:shd w:val="clear" w:color="auto" w:fill="auto"/>
            <w:vAlign w:val="bottom"/>
          </w:tcPr>
          <w:p>
            <w:pPr>
              <w:rPr>
                <w:rFonts w:hint="default" w:ascii="Arial" w:hAnsi="Arial" w:cs="Arial"/>
                <w:i w:val="0"/>
                <w:color w:val="auto"/>
                <w:sz w:val="20"/>
                <w:szCs w:val="20"/>
                <w:u w:val="none"/>
              </w:rPr>
            </w:pPr>
          </w:p>
        </w:tc>
        <w:tc>
          <w:tcPr>
            <w:tcW w:w="1244" w:type="dxa"/>
            <w:gridSpan w:val="4"/>
            <w:shd w:val="clear" w:color="auto" w:fill="auto"/>
            <w:vAlign w:val="bottom"/>
          </w:tcPr>
          <w:p>
            <w:pPr>
              <w:rPr>
                <w:rFonts w:hint="default" w:ascii="Arial" w:hAnsi="Arial" w:cs="Arial"/>
                <w:i w:val="0"/>
                <w:color w:val="auto"/>
                <w:sz w:val="20"/>
                <w:szCs w:val="20"/>
                <w:u w:val="none"/>
              </w:rPr>
            </w:pPr>
          </w:p>
        </w:tc>
        <w:tc>
          <w:tcPr>
            <w:tcW w:w="712" w:type="dxa"/>
            <w:gridSpan w:val="2"/>
            <w:shd w:val="clear" w:color="auto" w:fill="auto"/>
            <w:vAlign w:val="bottom"/>
          </w:tcPr>
          <w:p>
            <w:pPr>
              <w:rPr>
                <w:rFonts w:hint="default" w:ascii="Arial" w:hAnsi="Arial" w:cs="Arial"/>
                <w:i w:val="0"/>
                <w:color w:val="auto"/>
                <w:sz w:val="20"/>
                <w:szCs w:val="20"/>
                <w:u w:val="none"/>
              </w:rPr>
            </w:pPr>
          </w:p>
        </w:tc>
        <w:tc>
          <w:tcPr>
            <w:tcW w:w="1243" w:type="dxa"/>
            <w:gridSpan w:val="4"/>
            <w:shd w:val="clear" w:color="auto" w:fill="auto"/>
            <w:vAlign w:val="bottom"/>
          </w:tcPr>
          <w:p>
            <w:pPr>
              <w:rPr>
                <w:rFonts w:hint="default" w:ascii="Arial" w:hAnsi="Arial" w:cs="Arial"/>
                <w:i w:val="0"/>
                <w:color w:val="auto"/>
                <w:sz w:val="20"/>
                <w:szCs w:val="20"/>
                <w:u w:val="none"/>
              </w:rPr>
            </w:pPr>
          </w:p>
        </w:tc>
        <w:tc>
          <w:tcPr>
            <w:tcW w:w="714" w:type="dxa"/>
            <w:gridSpan w:val="3"/>
            <w:shd w:val="clear" w:color="auto" w:fill="auto"/>
            <w:vAlign w:val="bottom"/>
          </w:tcPr>
          <w:p>
            <w:pPr>
              <w:rPr>
                <w:rFonts w:hint="default" w:ascii="Arial" w:hAnsi="Arial" w:cs="Arial"/>
                <w:i w:val="0"/>
                <w:color w:val="auto"/>
                <w:sz w:val="20"/>
                <w:szCs w:val="20"/>
                <w:u w:val="none"/>
              </w:rPr>
            </w:pPr>
          </w:p>
        </w:tc>
        <w:tc>
          <w:tcPr>
            <w:tcW w:w="1334" w:type="dxa"/>
            <w:gridSpan w:val="3"/>
            <w:shd w:val="clear" w:color="auto" w:fill="auto"/>
            <w:vAlign w:val="bottom"/>
          </w:tcPr>
          <w:p>
            <w:pPr>
              <w:rPr>
                <w:rFonts w:hint="default" w:ascii="Arial" w:hAnsi="Arial" w:cs="Arial"/>
                <w:i w:val="0"/>
                <w:color w:val="auto"/>
                <w:sz w:val="20"/>
                <w:szCs w:val="20"/>
                <w:u w:val="none"/>
              </w:rPr>
            </w:pPr>
          </w:p>
        </w:tc>
        <w:tc>
          <w:tcPr>
            <w:tcW w:w="714" w:type="dxa"/>
            <w:gridSpan w:val="3"/>
            <w:shd w:val="clear" w:color="auto" w:fill="auto"/>
            <w:vAlign w:val="bottom"/>
          </w:tcPr>
          <w:p>
            <w:pPr>
              <w:rPr>
                <w:rFonts w:hint="default" w:ascii="Arial" w:hAnsi="Arial" w:cs="Arial"/>
                <w:i w:val="0"/>
                <w:color w:val="auto"/>
                <w:sz w:val="20"/>
                <w:szCs w:val="20"/>
                <w:u w:val="none"/>
              </w:rPr>
            </w:pPr>
          </w:p>
        </w:tc>
        <w:tc>
          <w:tcPr>
            <w:tcW w:w="1245" w:type="dxa"/>
            <w:gridSpan w:val="3"/>
            <w:shd w:val="clear" w:color="auto" w:fill="auto"/>
            <w:vAlign w:val="bottom"/>
          </w:tcPr>
          <w:p>
            <w:pPr>
              <w:rPr>
                <w:rFonts w:hint="default" w:ascii="Arial" w:hAnsi="Arial" w:cs="Arial"/>
                <w:i w:val="0"/>
                <w:color w:val="auto"/>
                <w:sz w:val="20"/>
                <w:szCs w:val="20"/>
                <w:u w:val="none"/>
              </w:rPr>
            </w:pPr>
          </w:p>
        </w:tc>
        <w:tc>
          <w:tcPr>
            <w:tcW w:w="714" w:type="dxa"/>
            <w:gridSpan w:val="3"/>
            <w:shd w:val="clear" w:color="auto" w:fill="auto"/>
            <w:vAlign w:val="bottom"/>
          </w:tcPr>
          <w:p>
            <w:pPr>
              <w:rPr>
                <w:rFonts w:hint="default" w:ascii="Arial" w:hAnsi="Arial" w:cs="Arial"/>
                <w:i w:val="0"/>
                <w:color w:val="auto"/>
                <w:sz w:val="20"/>
                <w:szCs w:val="20"/>
                <w:u w:val="none"/>
              </w:rPr>
            </w:pPr>
          </w:p>
        </w:tc>
        <w:tc>
          <w:tcPr>
            <w:tcW w:w="1244" w:type="dxa"/>
            <w:gridSpan w:val="4"/>
            <w:shd w:val="clear" w:color="auto" w:fill="auto"/>
            <w:vAlign w:val="bottom"/>
          </w:tcPr>
          <w:p>
            <w:pPr>
              <w:rPr>
                <w:rFonts w:hint="default" w:ascii="Arial" w:hAnsi="Arial" w:cs="Arial"/>
                <w:i w:val="0"/>
                <w:color w:val="auto"/>
                <w:sz w:val="20"/>
                <w:szCs w:val="20"/>
                <w:u w:val="none"/>
              </w:rPr>
            </w:pPr>
          </w:p>
        </w:tc>
        <w:tc>
          <w:tcPr>
            <w:tcW w:w="1344"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公开</w:t>
            </w:r>
            <w:r>
              <w:rPr>
                <w:rFonts w:hint="eastAsia" w:ascii="宋体" w:hAnsi="宋体" w:eastAsia="宋体" w:cs="宋体"/>
                <w:i w:val="0"/>
                <w:color w:val="auto"/>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615" w:type="dxa"/>
            <w:gridSpan w:val="7"/>
            <w:shd w:val="clear" w:color="auto" w:fill="auto"/>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部门：深圳市福田区文学艺术界联合会</w:t>
            </w:r>
          </w:p>
        </w:tc>
        <w:tc>
          <w:tcPr>
            <w:tcW w:w="1244" w:type="dxa"/>
            <w:gridSpan w:val="3"/>
            <w:shd w:val="clear" w:color="auto" w:fill="auto"/>
            <w:vAlign w:val="bottom"/>
          </w:tcPr>
          <w:p>
            <w:pPr>
              <w:rPr>
                <w:rFonts w:hint="default" w:ascii="Arial" w:hAnsi="Arial" w:cs="Arial"/>
                <w:i w:val="0"/>
                <w:color w:val="auto"/>
                <w:sz w:val="20"/>
                <w:szCs w:val="20"/>
                <w:u w:val="none"/>
              </w:rPr>
            </w:pPr>
          </w:p>
        </w:tc>
        <w:tc>
          <w:tcPr>
            <w:tcW w:w="712" w:type="dxa"/>
            <w:gridSpan w:val="3"/>
            <w:shd w:val="clear" w:color="auto" w:fill="auto"/>
            <w:vAlign w:val="bottom"/>
          </w:tcPr>
          <w:p>
            <w:pPr>
              <w:rPr>
                <w:rFonts w:hint="default" w:ascii="Arial" w:hAnsi="Arial" w:cs="Arial"/>
                <w:i w:val="0"/>
                <w:color w:val="auto"/>
                <w:sz w:val="20"/>
                <w:szCs w:val="20"/>
                <w:u w:val="none"/>
              </w:rPr>
            </w:pPr>
          </w:p>
        </w:tc>
        <w:tc>
          <w:tcPr>
            <w:tcW w:w="1243" w:type="dxa"/>
            <w:gridSpan w:val="3"/>
            <w:shd w:val="clear" w:color="auto" w:fill="auto"/>
            <w:vAlign w:val="bottom"/>
          </w:tcPr>
          <w:p>
            <w:pPr>
              <w:rPr>
                <w:rFonts w:hint="default" w:ascii="Arial" w:hAnsi="Arial" w:cs="Arial"/>
                <w:i w:val="0"/>
                <w:color w:val="auto"/>
                <w:sz w:val="20"/>
                <w:szCs w:val="20"/>
                <w:u w:val="none"/>
              </w:rPr>
            </w:pPr>
          </w:p>
        </w:tc>
        <w:tc>
          <w:tcPr>
            <w:tcW w:w="714" w:type="dxa"/>
            <w:gridSpan w:val="3"/>
            <w:shd w:val="clear" w:color="auto" w:fill="auto"/>
            <w:vAlign w:val="bottom"/>
          </w:tcPr>
          <w:p>
            <w:pPr>
              <w:rPr>
                <w:rFonts w:hint="default" w:ascii="Arial" w:hAnsi="Arial" w:cs="Arial"/>
                <w:i w:val="0"/>
                <w:color w:val="auto"/>
                <w:sz w:val="20"/>
                <w:szCs w:val="20"/>
                <w:u w:val="none"/>
              </w:rPr>
            </w:pPr>
          </w:p>
        </w:tc>
        <w:tc>
          <w:tcPr>
            <w:tcW w:w="1334" w:type="dxa"/>
            <w:gridSpan w:val="4"/>
            <w:shd w:val="clear" w:color="auto" w:fill="auto"/>
            <w:vAlign w:val="bottom"/>
          </w:tcPr>
          <w:p>
            <w:pPr>
              <w:rPr>
                <w:rFonts w:hint="default" w:ascii="Arial" w:hAnsi="Arial" w:cs="Arial"/>
                <w:i w:val="0"/>
                <w:color w:val="auto"/>
                <w:sz w:val="20"/>
                <w:szCs w:val="20"/>
                <w:u w:val="none"/>
              </w:rPr>
            </w:pPr>
          </w:p>
        </w:tc>
        <w:tc>
          <w:tcPr>
            <w:tcW w:w="714" w:type="dxa"/>
            <w:gridSpan w:val="2"/>
            <w:shd w:val="clear" w:color="auto" w:fill="auto"/>
            <w:vAlign w:val="bottom"/>
          </w:tcPr>
          <w:p>
            <w:pPr>
              <w:rPr>
                <w:rFonts w:hint="default" w:ascii="Arial" w:hAnsi="Arial" w:cs="Arial"/>
                <w:i w:val="0"/>
                <w:color w:val="auto"/>
                <w:sz w:val="20"/>
                <w:szCs w:val="20"/>
                <w:u w:val="none"/>
              </w:rPr>
            </w:pPr>
          </w:p>
        </w:tc>
        <w:tc>
          <w:tcPr>
            <w:tcW w:w="1245" w:type="dxa"/>
            <w:gridSpan w:val="4"/>
            <w:shd w:val="clear" w:color="auto" w:fill="auto"/>
            <w:vAlign w:val="bottom"/>
          </w:tcPr>
          <w:p>
            <w:pPr>
              <w:rPr>
                <w:rFonts w:hint="default" w:ascii="Arial" w:hAnsi="Arial" w:cs="Arial"/>
                <w:i w:val="0"/>
                <w:color w:val="auto"/>
                <w:sz w:val="20"/>
                <w:szCs w:val="20"/>
                <w:u w:val="none"/>
              </w:rPr>
            </w:pPr>
          </w:p>
        </w:tc>
        <w:tc>
          <w:tcPr>
            <w:tcW w:w="714" w:type="dxa"/>
            <w:gridSpan w:val="3"/>
            <w:shd w:val="clear" w:color="auto" w:fill="auto"/>
            <w:vAlign w:val="bottom"/>
          </w:tcPr>
          <w:p>
            <w:pPr>
              <w:rPr>
                <w:rFonts w:hint="default" w:ascii="Arial" w:hAnsi="Arial" w:cs="Arial"/>
                <w:i w:val="0"/>
                <w:color w:val="auto"/>
                <w:sz w:val="20"/>
                <w:szCs w:val="20"/>
                <w:u w:val="none"/>
              </w:rPr>
            </w:pPr>
          </w:p>
        </w:tc>
        <w:tc>
          <w:tcPr>
            <w:tcW w:w="1244" w:type="dxa"/>
            <w:gridSpan w:val="3"/>
            <w:shd w:val="clear" w:color="auto" w:fill="auto"/>
            <w:vAlign w:val="bottom"/>
          </w:tcPr>
          <w:p>
            <w:pPr>
              <w:rPr>
                <w:rFonts w:hint="default" w:ascii="Arial" w:hAnsi="Arial" w:cs="Arial"/>
                <w:i w:val="0"/>
                <w:color w:val="auto"/>
                <w:sz w:val="20"/>
                <w:szCs w:val="20"/>
                <w:u w:val="none"/>
              </w:rPr>
            </w:pPr>
          </w:p>
        </w:tc>
        <w:tc>
          <w:tcPr>
            <w:tcW w:w="1796" w:type="dxa"/>
            <w:gridSpan w:val="4"/>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57" w:type="dxa"/>
            <w:gridSpan w:val="5"/>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2558" w:type="dxa"/>
            <w:gridSpan w:val="2"/>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3199" w:type="dxa"/>
            <w:gridSpan w:val="9"/>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2762" w:type="dxa"/>
            <w:gridSpan w:val="9"/>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本年收入</w:t>
            </w:r>
          </w:p>
        </w:tc>
        <w:tc>
          <w:tcPr>
            <w:tcW w:w="3203" w:type="dxa"/>
            <w:gridSpan w:val="10"/>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w:t>
            </w:r>
          </w:p>
        </w:tc>
        <w:tc>
          <w:tcPr>
            <w:tcW w:w="1796" w:type="dxa"/>
            <w:gridSpan w:val="4"/>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1057" w:type="dxa"/>
            <w:gridSpan w:val="5"/>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2558"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50"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712"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基本支出结转</w:t>
            </w:r>
          </w:p>
        </w:tc>
        <w:tc>
          <w:tcPr>
            <w:tcW w:w="1073" w:type="dxa"/>
            <w:gridSpan w:val="4"/>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项目支出结转和结余</w:t>
            </w:r>
          </w:p>
        </w:tc>
        <w:tc>
          <w:tcPr>
            <w:tcW w:w="714"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946" w:type="dxa"/>
            <w:gridSpan w:val="3"/>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714"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1245" w:type="dxa"/>
            <w:gridSpan w:val="4"/>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714"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019" w:type="dxa"/>
            <w:gridSpan w:val="3"/>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714" w:type="dxa"/>
            <w:gridSpan w:val="3"/>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713"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基本支出结转</w:t>
            </w:r>
          </w:p>
        </w:tc>
        <w:tc>
          <w:tcPr>
            <w:tcW w:w="1646"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1057" w:type="dxa"/>
            <w:gridSpan w:val="5"/>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2558"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5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2"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073" w:type="dxa"/>
            <w:gridSpan w:val="4"/>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4"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946"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4"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245" w:type="dxa"/>
            <w:gridSpan w:val="4"/>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4"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019"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4"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3"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823"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项目支出结转</w:t>
            </w:r>
          </w:p>
        </w:tc>
        <w:tc>
          <w:tcPr>
            <w:tcW w:w="82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057" w:type="dxa"/>
            <w:gridSpan w:val="5"/>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2558" w:type="dxa"/>
            <w:gridSpan w:val="2"/>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5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2"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073" w:type="dxa"/>
            <w:gridSpan w:val="4"/>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4"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946"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4"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245" w:type="dxa"/>
            <w:gridSpan w:val="4"/>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4"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019"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4"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713"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823"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82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00" w:type="dxa"/>
            <w:gridSpan w:val="2"/>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3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397"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255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12"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073" w:type="dxa"/>
            <w:gridSpan w:val="4"/>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714"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946"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714"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245" w:type="dxa"/>
            <w:gridSpan w:val="4"/>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714"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019"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714"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71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82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8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00" w:type="dxa"/>
            <w:gridSpan w:val="2"/>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3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397"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255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14.90</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2.22</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12.68</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925.34</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397.79</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527.55</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920.96</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400.01</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520.95</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19.28</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19.28</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5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25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一般公共服务支出</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8.73</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2.22</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6.51</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836.18</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308.63</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527.55</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831.79</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310.84</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520.95</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13.11</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13.11</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5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20129</w:t>
            </w:r>
          </w:p>
        </w:tc>
        <w:tc>
          <w:tcPr>
            <w:tcW w:w="25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群众团体事务</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8.73</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2.22</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6.51</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836.18</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308.63</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527.55</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831.79</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310.84</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520.95</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13.11</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13.11</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5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2012901</w:t>
            </w:r>
          </w:p>
        </w:tc>
        <w:tc>
          <w:tcPr>
            <w:tcW w:w="25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行政运行</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2.22</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2.22</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308.63</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308.63</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310.84</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310.84</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5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2012902</w:t>
            </w:r>
          </w:p>
        </w:tc>
        <w:tc>
          <w:tcPr>
            <w:tcW w:w="25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一般行政管理事务</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527.55</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527.55</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520.95</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520.95</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6.60</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6.60</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5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2012999</w:t>
            </w:r>
          </w:p>
        </w:tc>
        <w:tc>
          <w:tcPr>
            <w:tcW w:w="25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其他群众团体事务支出</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6.51</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6.51</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6.51</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6.51</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5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w:t>
            </w:r>
          </w:p>
        </w:tc>
        <w:tc>
          <w:tcPr>
            <w:tcW w:w="25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文化体育与传媒支出</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5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20799</w:t>
            </w:r>
          </w:p>
        </w:tc>
        <w:tc>
          <w:tcPr>
            <w:tcW w:w="25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其他文化体育与传媒支出</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5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2079902</w:t>
            </w:r>
          </w:p>
        </w:tc>
        <w:tc>
          <w:tcPr>
            <w:tcW w:w="25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宣传文化发展专项支出</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6.17</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5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w:t>
            </w:r>
          </w:p>
        </w:tc>
        <w:tc>
          <w:tcPr>
            <w:tcW w:w="25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社会保障和就业支出</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5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20805</w:t>
            </w:r>
          </w:p>
        </w:tc>
        <w:tc>
          <w:tcPr>
            <w:tcW w:w="25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行政事业单位离退休</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57"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2080501</w:t>
            </w:r>
          </w:p>
        </w:tc>
        <w:tc>
          <w:tcPr>
            <w:tcW w:w="25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归口管理的行政单位离退休</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0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94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45"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71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101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4"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1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bl>
    <w:p>
      <w:pPr>
        <w:spacing w:before="26" w:beforeLines="0"/>
        <w:ind w:left="161" w:firstLine="480" w:firstLineChars="200"/>
        <w:rPr>
          <w:rFonts w:hint="eastAsia" w:ascii="PMingLiU" w:eastAsia="PMingLiU"/>
          <w:color w:val="auto"/>
          <w:w w:val="95"/>
          <w:sz w:val="32"/>
          <w:szCs w:val="32"/>
          <w:highlight w:val="none"/>
          <w:lang w:eastAsia="zh-CN"/>
        </w:rPr>
      </w:pPr>
      <w:r>
        <w:rPr>
          <w:color w:val="auto"/>
          <w:sz w:val="24"/>
          <w:highlight w:val="none"/>
          <w:lang w:eastAsia="zh-CN"/>
        </w:rPr>
        <w:t>注：</w:t>
      </w:r>
      <w:r>
        <w:rPr>
          <w:rFonts w:hint="eastAsia"/>
          <w:color w:val="auto"/>
          <w:sz w:val="24"/>
          <w:highlight w:val="none"/>
          <w:lang w:eastAsia="zh-CN"/>
        </w:rPr>
        <w:t>本表反映部门本年度一般公共预算财政拨款实际支出情况。</w:t>
      </w:r>
    </w:p>
    <w:p>
      <w:pPr>
        <w:spacing w:before="91" w:beforeLines="0"/>
        <w:rPr>
          <w:rFonts w:hint="eastAsia"/>
          <w:color w:val="auto"/>
          <w:highlight w:val="none"/>
          <w:lang w:eastAsia="zh-CN"/>
        </w:rPr>
      </w:pPr>
    </w:p>
    <w:p>
      <w:pPr>
        <w:spacing w:before="91" w:beforeLines="0"/>
        <w:rPr>
          <w:rFonts w:hint="eastAsia"/>
          <w:color w:val="auto"/>
          <w:highlight w:val="none"/>
          <w:lang w:eastAsia="zh-CN"/>
        </w:rPr>
      </w:pPr>
    </w:p>
    <w:p>
      <w:pPr>
        <w:spacing w:before="91" w:beforeLines="0"/>
        <w:jc w:val="center"/>
        <w:rPr>
          <w:rFonts w:hint="eastAsia"/>
          <w:color w:val="auto"/>
          <w:highlight w:val="none"/>
          <w:lang w:eastAsia="zh-CN"/>
        </w:rPr>
      </w:pPr>
      <w:r>
        <w:rPr>
          <w:rFonts w:hint="eastAsia" w:ascii="PMingLiU" w:eastAsia="PMingLiU"/>
          <w:color w:val="auto"/>
          <w:sz w:val="29"/>
          <w:highlight w:val="none"/>
          <w:lang w:eastAsia="zh-CN"/>
        </w:rPr>
        <w:t>一般公共预算财政拨款基本支出决算表</w:t>
      </w:r>
    </w:p>
    <w:tbl>
      <w:tblPr>
        <w:tblStyle w:val="5"/>
        <w:tblW w:w="14651" w:type="dxa"/>
        <w:tblInd w:w="6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5"/>
        <w:gridCol w:w="2411"/>
        <w:gridCol w:w="763"/>
        <w:gridCol w:w="1195"/>
        <w:gridCol w:w="636"/>
        <w:gridCol w:w="221"/>
        <w:gridCol w:w="2400"/>
        <w:gridCol w:w="553"/>
        <w:gridCol w:w="767"/>
        <w:gridCol w:w="793"/>
        <w:gridCol w:w="84"/>
        <w:gridCol w:w="2723"/>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35" w:type="dxa"/>
            <w:shd w:val="clear" w:color="auto" w:fill="auto"/>
            <w:vAlign w:val="bottom"/>
          </w:tcPr>
          <w:p>
            <w:pPr>
              <w:rPr>
                <w:rFonts w:hint="eastAsia" w:ascii="Arial" w:hAnsi="Arial" w:cs="Arial"/>
                <w:i w:val="0"/>
                <w:color w:val="auto"/>
                <w:sz w:val="20"/>
                <w:szCs w:val="20"/>
                <w:u w:val="none"/>
              </w:rPr>
            </w:pPr>
          </w:p>
        </w:tc>
        <w:tc>
          <w:tcPr>
            <w:tcW w:w="3174" w:type="dxa"/>
            <w:gridSpan w:val="2"/>
            <w:shd w:val="clear" w:color="auto" w:fill="auto"/>
            <w:vAlign w:val="bottom"/>
          </w:tcPr>
          <w:p>
            <w:pPr>
              <w:rPr>
                <w:rFonts w:hint="default" w:ascii="Arial" w:hAnsi="Arial" w:cs="Arial"/>
                <w:i w:val="0"/>
                <w:color w:val="auto"/>
                <w:sz w:val="20"/>
                <w:szCs w:val="20"/>
                <w:u w:val="none"/>
              </w:rPr>
            </w:pPr>
          </w:p>
        </w:tc>
        <w:tc>
          <w:tcPr>
            <w:tcW w:w="1195" w:type="dxa"/>
            <w:shd w:val="clear" w:color="auto" w:fill="auto"/>
            <w:vAlign w:val="bottom"/>
          </w:tcPr>
          <w:p>
            <w:pPr>
              <w:rPr>
                <w:rFonts w:hint="default" w:ascii="Arial" w:hAnsi="Arial" w:cs="Arial"/>
                <w:i w:val="0"/>
                <w:color w:val="auto"/>
                <w:sz w:val="20"/>
                <w:szCs w:val="20"/>
                <w:u w:val="none"/>
              </w:rPr>
            </w:pPr>
          </w:p>
        </w:tc>
        <w:tc>
          <w:tcPr>
            <w:tcW w:w="636" w:type="dxa"/>
            <w:shd w:val="clear" w:color="auto" w:fill="auto"/>
            <w:vAlign w:val="bottom"/>
          </w:tcPr>
          <w:p>
            <w:pPr>
              <w:rPr>
                <w:rFonts w:hint="default" w:ascii="Arial" w:hAnsi="Arial" w:cs="Arial"/>
                <w:i w:val="0"/>
                <w:color w:val="auto"/>
                <w:sz w:val="20"/>
                <w:szCs w:val="20"/>
                <w:u w:val="none"/>
              </w:rPr>
            </w:pPr>
          </w:p>
        </w:tc>
        <w:tc>
          <w:tcPr>
            <w:tcW w:w="3174" w:type="dxa"/>
            <w:gridSpan w:val="3"/>
            <w:shd w:val="clear" w:color="auto" w:fill="auto"/>
            <w:vAlign w:val="bottom"/>
          </w:tcPr>
          <w:p>
            <w:pPr>
              <w:rPr>
                <w:rFonts w:hint="default" w:ascii="Arial" w:hAnsi="Arial" w:cs="Arial"/>
                <w:i w:val="0"/>
                <w:color w:val="auto"/>
                <w:sz w:val="20"/>
                <w:szCs w:val="20"/>
                <w:u w:val="none"/>
              </w:rPr>
            </w:pPr>
          </w:p>
        </w:tc>
        <w:tc>
          <w:tcPr>
            <w:tcW w:w="1560" w:type="dxa"/>
            <w:gridSpan w:val="2"/>
            <w:shd w:val="clear" w:color="auto" w:fill="auto"/>
            <w:vAlign w:val="bottom"/>
          </w:tcPr>
          <w:p>
            <w:pPr>
              <w:rPr>
                <w:rFonts w:hint="default" w:ascii="Arial" w:hAnsi="Arial" w:cs="Arial"/>
                <w:i w:val="0"/>
                <w:color w:val="auto"/>
                <w:sz w:val="20"/>
                <w:szCs w:val="20"/>
                <w:u w:val="none"/>
              </w:rPr>
            </w:pPr>
          </w:p>
        </w:tc>
        <w:tc>
          <w:tcPr>
            <w:tcW w:w="4277"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公开</w:t>
            </w:r>
            <w:r>
              <w:rPr>
                <w:rFonts w:hint="eastAsia" w:ascii="宋体" w:hAnsi="宋体" w:eastAsia="宋体" w:cs="宋体"/>
                <w:i w:val="0"/>
                <w:color w:val="auto"/>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004" w:type="dxa"/>
            <w:gridSpan w:val="4"/>
            <w:shd w:val="clear" w:color="auto" w:fill="auto"/>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部门：深圳市福田区文学艺术界联合会</w:t>
            </w:r>
          </w:p>
        </w:tc>
        <w:tc>
          <w:tcPr>
            <w:tcW w:w="636" w:type="dxa"/>
            <w:shd w:val="clear" w:color="auto" w:fill="auto"/>
            <w:vAlign w:val="bottom"/>
          </w:tcPr>
          <w:p>
            <w:pPr>
              <w:rPr>
                <w:rFonts w:hint="default" w:ascii="Arial" w:hAnsi="Arial" w:cs="Arial"/>
                <w:i w:val="0"/>
                <w:color w:val="auto"/>
                <w:sz w:val="20"/>
                <w:szCs w:val="20"/>
                <w:u w:val="none"/>
              </w:rPr>
            </w:pPr>
          </w:p>
        </w:tc>
        <w:tc>
          <w:tcPr>
            <w:tcW w:w="3174" w:type="dxa"/>
            <w:gridSpan w:val="3"/>
            <w:shd w:val="clear" w:color="auto" w:fill="auto"/>
            <w:vAlign w:val="bottom"/>
          </w:tcPr>
          <w:p>
            <w:pPr>
              <w:rPr>
                <w:rFonts w:hint="default" w:ascii="Arial" w:hAnsi="Arial" w:cs="Arial"/>
                <w:i w:val="0"/>
                <w:color w:val="auto"/>
                <w:sz w:val="20"/>
                <w:szCs w:val="20"/>
                <w:u w:val="none"/>
              </w:rPr>
            </w:pPr>
          </w:p>
        </w:tc>
        <w:tc>
          <w:tcPr>
            <w:tcW w:w="1560" w:type="dxa"/>
            <w:gridSpan w:val="2"/>
            <w:shd w:val="clear" w:color="auto" w:fill="auto"/>
            <w:vAlign w:val="bottom"/>
          </w:tcPr>
          <w:p>
            <w:pPr>
              <w:rPr>
                <w:rFonts w:hint="default" w:ascii="Arial" w:hAnsi="Arial" w:cs="Arial"/>
                <w:i w:val="0"/>
                <w:color w:val="auto"/>
                <w:sz w:val="20"/>
                <w:szCs w:val="20"/>
                <w:u w:val="none"/>
              </w:rPr>
            </w:pPr>
          </w:p>
        </w:tc>
        <w:tc>
          <w:tcPr>
            <w:tcW w:w="4277"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004"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人员经费</w:t>
            </w:r>
          </w:p>
        </w:tc>
        <w:tc>
          <w:tcPr>
            <w:tcW w:w="9647" w:type="dxa"/>
            <w:gridSpan w:val="9"/>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35"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241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958"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857"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240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320"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877"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272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47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35"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241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958"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857"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240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32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877"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272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c>
          <w:tcPr>
            <w:tcW w:w="147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工资福利支出</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266.49</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商品和服务支出</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5.82</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其他资本性支出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30101</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基本工资</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25.36</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30201</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办公费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31001</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房屋建筑物购建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30102</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津贴补贴</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88.11</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30202</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印刷费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31002</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办公设备购置</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30103</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奖金</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12.37</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30203</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咨询费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31003</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专用设备购置</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30104</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其他社会保障缴费</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8.14</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30204</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手续费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31005</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基础设施建设</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30106</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伙食补助费</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30205</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水费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31006</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大型修缮</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30107</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绩效工资</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30206</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电费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31007</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信息网络及软件购置更新</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30108</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机关事业单位基本养老保险缴费</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76.28</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30207</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邮电费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31008</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物资储备</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30109</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职业年金缴费</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32.16</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30208</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取暖费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31009</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土地补偿</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30199</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其他工资福利支出</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24.06</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30209</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物业管理费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31010</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安置补助</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对个人和家庭的补助</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127.69</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30211</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差旅费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31011</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地上附着物和青苗补偿</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30301</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离休费</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30212</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因公出国（境）费用</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31012</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拆迁补偿</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30302</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退休费</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89.16</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30213</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维修(护)费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31013</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公务用车购置</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30303</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退职（役）费</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30214</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租赁费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31019</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其他交通工具购置</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30304</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抚恤金</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30215</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会议费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31020</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产权参股</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30305</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生活补助</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30216</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培训费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0.06</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31099</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其他资本性支出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30306</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救济费</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30217</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公务接待费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304</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对企事业单位的补贴</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30307</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医疗费</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30218</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专用材料费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30401</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企业政策性补贴</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30308</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助学金</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30224</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被装购置费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30402</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事业单位补贴</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30309</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奖励金</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2.78</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30225</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专用燃料费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30403</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财政贴息</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30310</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生产补贴</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30226</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劳务费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30499</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其他对企事业单位的补贴</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30311</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住房公积金</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35.75</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30227</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委托业务费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债务利息支出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30312</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提租补贴</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30228</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工会经费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30701</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国内债务付息</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30313</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购房补贴</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30229</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福利费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30707</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国外债务付息</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30314</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采暖补贴</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30231</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公务用车运行维护费</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3.84</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30315</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物业服务补贴</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30239</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其他交通费用</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39906</w:t>
            </w:r>
          </w:p>
        </w:tc>
        <w:tc>
          <w:tcPr>
            <w:tcW w:w="27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赠与</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30399</w:t>
            </w:r>
          </w:p>
        </w:tc>
        <w:tc>
          <w:tcPr>
            <w:tcW w:w="241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其他对个人和家庭的补助支出</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30240</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税金及附加费用</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272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14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2411"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1958"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c>
          <w:tcPr>
            <w:tcW w:w="857"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30299</w:t>
            </w:r>
          </w:p>
        </w:tc>
        <w:tc>
          <w:tcPr>
            <w:tcW w:w="240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其他商品和服务支出</w:t>
            </w:r>
          </w:p>
        </w:tc>
        <w:tc>
          <w:tcPr>
            <w:tcW w:w="132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877"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272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auto"/>
                <w:sz w:val="22"/>
                <w:szCs w:val="22"/>
                <w:u w:val="none"/>
              </w:rPr>
            </w:pPr>
          </w:p>
        </w:tc>
        <w:tc>
          <w:tcPr>
            <w:tcW w:w="14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04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人员经费合计</w:t>
            </w:r>
          </w:p>
        </w:tc>
        <w:tc>
          <w:tcPr>
            <w:tcW w:w="19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394.18</w:t>
            </w:r>
          </w:p>
        </w:tc>
        <w:tc>
          <w:tcPr>
            <w:tcW w:w="8177" w:type="dxa"/>
            <w:gridSpan w:val="8"/>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公用经费合计</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5.82</w:t>
            </w:r>
          </w:p>
        </w:tc>
      </w:tr>
    </w:tbl>
    <w:p>
      <w:pPr>
        <w:spacing w:line="278" w:lineRule="exact"/>
        <w:ind w:left="169" w:firstLine="480" w:firstLineChars="200"/>
        <w:rPr>
          <w:color w:val="auto"/>
          <w:sz w:val="24"/>
          <w:szCs w:val="24"/>
          <w:highlight w:val="none"/>
          <w:lang w:eastAsia="zh-CN"/>
        </w:rPr>
      </w:pPr>
      <w:r>
        <w:rPr>
          <w:color w:val="auto"/>
          <w:sz w:val="24"/>
          <w:szCs w:val="24"/>
          <w:highlight w:val="none"/>
          <w:lang w:eastAsia="zh-CN"/>
        </w:rPr>
        <w:t>注：</w:t>
      </w:r>
      <w:r>
        <w:rPr>
          <w:rFonts w:hint="eastAsia"/>
          <w:color w:val="auto"/>
          <w:sz w:val="24"/>
          <w:szCs w:val="24"/>
          <w:highlight w:val="none"/>
          <w:lang w:eastAsia="zh-CN"/>
        </w:rPr>
        <w:t>本表反映部门本年度一般公共预算财政拨款基本支出明细情况。</w:t>
      </w:r>
    </w:p>
    <w:p>
      <w:pPr>
        <w:jc w:val="both"/>
        <w:rPr>
          <w:color w:val="auto"/>
          <w:sz w:val="24"/>
          <w:szCs w:val="24"/>
          <w:highlight w:val="none"/>
          <w:lang w:eastAsia="zh-CN"/>
        </w:rPr>
        <w:sectPr>
          <w:type w:val="continuous"/>
          <w:pgSz w:w="16840" w:h="11910" w:orient="landscape"/>
          <w:pgMar w:top="1560" w:right="380" w:bottom="546" w:left="380" w:header="720" w:footer="720" w:gutter="0"/>
          <w:pgNumType w:fmt="decimal"/>
          <w:cols w:space="720" w:num="1"/>
          <w:docGrid w:type="lines" w:linePitch="312" w:charSpace="0"/>
        </w:sectPr>
      </w:pPr>
    </w:p>
    <w:p>
      <w:pPr>
        <w:pStyle w:val="7"/>
        <w:spacing w:line="377" w:lineRule="exact"/>
        <w:ind w:left="4059"/>
        <w:rPr>
          <w:rFonts w:ascii="PMingLiU" w:hAnsi="PMingLiU" w:eastAsia="PMingLiU"/>
          <w:color w:val="auto"/>
          <w:highlight w:val="none"/>
          <w:lang w:eastAsia="zh-CN"/>
        </w:rPr>
      </w:pPr>
      <w:r>
        <w:rPr>
          <w:rFonts w:hint="eastAsia" w:ascii="PMingLiU" w:hAnsi="PMingLiU" w:eastAsia="PMingLiU"/>
          <w:color w:val="auto"/>
          <w:w w:val="95"/>
          <w:highlight w:val="none"/>
          <w:lang w:eastAsia="zh-CN"/>
        </w:rPr>
        <w:t>一般公共预算财政拨款“三公”经费支出决算表</w:t>
      </w:r>
    </w:p>
    <w:p>
      <w:pPr>
        <w:pStyle w:val="2"/>
        <w:ind w:left="0"/>
        <w:rPr>
          <w:rFonts w:ascii="PMingLiU"/>
          <w:color w:val="auto"/>
          <w:sz w:val="20"/>
          <w:highlight w:val="none"/>
          <w:lang w:eastAsia="zh-CN"/>
        </w:rPr>
      </w:pPr>
    </w:p>
    <w:p>
      <w:pPr>
        <w:ind w:right="174"/>
        <w:jc w:val="right"/>
        <w:rPr>
          <w:color w:val="auto"/>
          <w:sz w:val="20"/>
          <w:highlight w:val="none"/>
          <w:lang w:eastAsia="zh-CN"/>
        </w:rPr>
      </w:pPr>
      <w:r>
        <w:rPr>
          <w:rFonts w:hint="eastAsia"/>
          <w:color w:val="auto"/>
          <w:w w:val="95"/>
          <w:sz w:val="20"/>
          <w:highlight w:val="none"/>
          <w:lang w:val="en-US" w:eastAsia="zh-CN"/>
        </w:rPr>
        <w:t xml:space="preserve">                                                                                                                                   </w:t>
      </w:r>
      <w:r>
        <w:rPr>
          <w:color w:val="auto"/>
          <w:w w:val="95"/>
          <w:sz w:val="20"/>
          <w:highlight w:val="none"/>
          <w:lang w:eastAsia="zh-CN"/>
        </w:rPr>
        <w:t>公开07表</w:t>
      </w:r>
    </w:p>
    <w:p>
      <w:pPr>
        <w:tabs>
          <w:tab w:val="left" w:pos="13665"/>
        </w:tabs>
        <w:spacing w:before="2" w:beforeLines="0" w:after="22" w:afterLines="0"/>
        <w:ind w:left="159"/>
        <w:jc w:val="both"/>
        <w:rPr>
          <w:color w:val="auto"/>
          <w:sz w:val="20"/>
          <w:highlight w:val="none"/>
          <w:lang w:eastAsia="zh-CN"/>
        </w:rPr>
      </w:pPr>
      <w:r>
        <w:rPr>
          <w:color w:val="auto"/>
          <w:sz w:val="20"/>
          <w:highlight w:val="none"/>
          <w:lang w:eastAsia="zh-CN"/>
        </w:rPr>
        <w:t>部门：</w:t>
      </w:r>
      <w:r>
        <w:rPr>
          <w:rFonts w:hint="eastAsia"/>
          <w:color w:val="auto"/>
          <w:w w:val="105"/>
          <w:sz w:val="18"/>
          <w:highlight w:val="none"/>
          <w:lang w:eastAsia="zh-CN"/>
        </w:rPr>
        <w:t>深圳市福田区文学艺术界联合会</w:t>
      </w:r>
      <w:r>
        <w:rPr>
          <w:rFonts w:hint="eastAsia"/>
          <w:color w:val="auto"/>
          <w:w w:val="105"/>
          <w:sz w:val="18"/>
          <w:highlight w:val="none"/>
          <w:lang w:val="en-US" w:eastAsia="zh-CN"/>
        </w:rPr>
        <w:t xml:space="preserve">  </w:t>
      </w:r>
      <w:r>
        <w:rPr>
          <w:color w:val="auto"/>
          <w:sz w:val="20"/>
          <w:highlight w:val="none"/>
          <w:lang w:eastAsia="zh-CN"/>
        </w:rPr>
        <w:tab/>
      </w:r>
      <w:r>
        <w:rPr>
          <w:rFonts w:hint="eastAsia"/>
          <w:color w:val="auto"/>
          <w:sz w:val="20"/>
          <w:highlight w:val="none"/>
          <w:lang w:val="en-US" w:eastAsia="zh-CN"/>
        </w:rPr>
        <w:t xml:space="preserve">             </w:t>
      </w:r>
      <w:r>
        <w:rPr>
          <w:color w:val="auto"/>
          <w:sz w:val="20"/>
          <w:highlight w:val="none"/>
          <w:lang w:eastAsia="zh-CN"/>
        </w:rPr>
        <w:t>单位：万元</w:t>
      </w:r>
    </w:p>
    <w:tbl>
      <w:tblPr>
        <w:tblStyle w:val="5"/>
        <w:tblW w:w="14700" w:type="dxa"/>
        <w:tblInd w:w="585" w:type="dxa"/>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Layout w:type="fixed"/>
        <w:tblCellMar>
          <w:top w:w="0" w:type="dxa"/>
          <w:left w:w="0" w:type="dxa"/>
          <w:bottom w:w="0" w:type="dxa"/>
          <w:right w:w="0" w:type="dxa"/>
        </w:tblCellMar>
      </w:tblPr>
      <w:tblGrid>
        <w:gridCol w:w="714"/>
        <w:gridCol w:w="1214"/>
        <w:gridCol w:w="1214"/>
        <w:gridCol w:w="1215"/>
        <w:gridCol w:w="1215"/>
        <w:gridCol w:w="1734"/>
        <w:gridCol w:w="1215"/>
        <w:gridCol w:w="1214"/>
        <w:gridCol w:w="1214"/>
        <w:gridCol w:w="1215"/>
        <w:gridCol w:w="1215"/>
        <w:gridCol w:w="1321"/>
      </w:tblGrid>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74" w:hRule="exact"/>
        </w:trPr>
        <w:tc>
          <w:tcPr>
            <w:tcW w:w="7306" w:type="dxa"/>
            <w:gridSpan w:val="6"/>
            <w:tcBorders>
              <w:bottom w:val="single" w:color="000000" w:sz="8" w:space="0"/>
              <w:right w:val="single" w:color="000000" w:sz="8" w:space="0"/>
            </w:tcBorders>
            <w:vAlign w:val="top"/>
          </w:tcPr>
          <w:p>
            <w:pPr>
              <w:pStyle w:val="8"/>
              <w:spacing w:before="96" w:beforeLines="0"/>
              <w:ind w:left="2838" w:right="2840"/>
              <w:jc w:val="center"/>
              <w:rPr>
                <w:color w:val="auto"/>
                <w:highlight w:val="none"/>
              </w:rPr>
            </w:pPr>
            <w:r>
              <w:rPr>
                <w:color w:val="auto"/>
                <w:highlight w:val="none"/>
              </w:rPr>
              <w:t>预算数</w:t>
            </w:r>
          </w:p>
        </w:tc>
        <w:tc>
          <w:tcPr>
            <w:tcW w:w="7394" w:type="dxa"/>
            <w:gridSpan w:val="6"/>
            <w:tcBorders>
              <w:left w:val="single" w:color="000000" w:sz="8" w:space="0"/>
              <w:bottom w:val="single" w:color="000000" w:sz="8" w:space="0"/>
            </w:tcBorders>
            <w:vAlign w:val="top"/>
          </w:tcPr>
          <w:p>
            <w:pPr>
              <w:pStyle w:val="8"/>
              <w:spacing w:before="96" w:beforeLines="0"/>
              <w:ind w:left="2846" w:right="2832"/>
              <w:jc w:val="center"/>
              <w:rPr>
                <w:color w:val="auto"/>
                <w:highlight w:val="none"/>
              </w:rPr>
            </w:pPr>
            <w:r>
              <w:rPr>
                <w:color w:val="auto"/>
                <w:highlight w:val="none"/>
              </w:rPr>
              <w:t>决算数</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614" w:hRule="exact"/>
        </w:trPr>
        <w:tc>
          <w:tcPr>
            <w:tcW w:w="714" w:type="dxa"/>
            <w:vMerge w:val="restart"/>
            <w:tcBorders>
              <w:top w:val="single" w:color="000000" w:sz="8" w:space="0"/>
              <w:right w:val="single" w:color="000000" w:sz="8" w:space="0"/>
            </w:tcBorders>
            <w:vAlign w:val="top"/>
          </w:tcPr>
          <w:p>
            <w:pPr>
              <w:pStyle w:val="8"/>
              <w:rPr>
                <w:color w:val="auto"/>
                <w:highlight w:val="none"/>
              </w:rPr>
            </w:pPr>
          </w:p>
          <w:p>
            <w:pPr>
              <w:pStyle w:val="8"/>
              <w:spacing w:before="144" w:beforeLines="0"/>
              <w:ind w:left="369"/>
              <w:rPr>
                <w:color w:val="auto"/>
                <w:highlight w:val="none"/>
              </w:rPr>
            </w:pPr>
            <w:r>
              <w:rPr>
                <w:color w:val="auto"/>
                <w:highlight w:val="none"/>
              </w:rPr>
              <w:t>合计</w:t>
            </w:r>
          </w:p>
        </w:tc>
        <w:tc>
          <w:tcPr>
            <w:tcW w:w="1214" w:type="dxa"/>
            <w:vMerge w:val="restart"/>
            <w:tcBorders>
              <w:top w:val="single" w:color="000000" w:sz="8" w:space="0"/>
              <w:left w:val="single" w:color="000000" w:sz="8" w:space="0"/>
              <w:right w:val="single" w:color="000000" w:sz="8" w:space="0"/>
            </w:tcBorders>
            <w:vAlign w:val="top"/>
          </w:tcPr>
          <w:p>
            <w:pPr>
              <w:pStyle w:val="8"/>
              <w:spacing w:before="9" w:beforeLines="0"/>
              <w:rPr>
                <w:color w:val="auto"/>
                <w:highlight w:val="none"/>
              </w:rPr>
            </w:pPr>
          </w:p>
          <w:p>
            <w:pPr>
              <w:pStyle w:val="8"/>
              <w:spacing w:line="280" w:lineRule="exact"/>
              <w:ind w:left="158"/>
              <w:rPr>
                <w:color w:val="auto"/>
                <w:highlight w:val="none"/>
              </w:rPr>
            </w:pPr>
            <w:r>
              <w:rPr>
                <w:color w:val="auto"/>
                <w:highlight w:val="none"/>
              </w:rPr>
              <w:t>因公出国</w:t>
            </w:r>
          </w:p>
          <w:p>
            <w:pPr>
              <w:pStyle w:val="8"/>
              <w:spacing w:line="280" w:lineRule="exact"/>
              <w:ind w:left="158"/>
              <w:rPr>
                <w:color w:val="auto"/>
                <w:highlight w:val="none"/>
              </w:rPr>
            </w:pPr>
            <w:r>
              <w:rPr>
                <w:color w:val="auto"/>
                <w:highlight w:val="none"/>
              </w:rPr>
              <w:t>（境）费</w:t>
            </w:r>
          </w:p>
        </w:tc>
        <w:tc>
          <w:tcPr>
            <w:tcW w:w="3644" w:type="dxa"/>
            <w:gridSpan w:val="3"/>
            <w:tcBorders>
              <w:top w:val="single" w:color="000000" w:sz="8" w:space="0"/>
              <w:left w:val="single" w:color="000000" w:sz="8" w:space="0"/>
              <w:bottom w:val="single" w:color="000000" w:sz="8" w:space="0"/>
              <w:right w:val="single" w:color="000000" w:sz="8" w:space="0"/>
            </w:tcBorders>
            <w:vAlign w:val="top"/>
          </w:tcPr>
          <w:p>
            <w:pPr>
              <w:pStyle w:val="8"/>
              <w:spacing w:before="124" w:beforeLines="0"/>
              <w:ind w:left="710"/>
              <w:rPr>
                <w:color w:val="auto"/>
                <w:highlight w:val="none"/>
                <w:lang w:eastAsia="zh-CN"/>
              </w:rPr>
            </w:pPr>
            <w:r>
              <w:rPr>
                <w:color w:val="auto"/>
                <w:highlight w:val="none"/>
                <w:lang w:eastAsia="zh-CN"/>
              </w:rPr>
              <w:t>公务用车购置及运行费</w:t>
            </w:r>
          </w:p>
        </w:tc>
        <w:tc>
          <w:tcPr>
            <w:tcW w:w="1734" w:type="dxa"/>
            <w:vMerge w:val="restart"/>
            <w:tcBorders>
              <w:top w:val="single" w:color="000000" w:sz="8" w:space="0"/>
              <w:left w:val="single" w:color="000000" w:sz="8" w:space="0"/>
              <w:right w:val="single" w:color="000000" w:sz="8" w:space="0"/>
            </w:tcBorders>
            <w:vAlign w:val="top"/>
          </w:tcPr>
          <w:p>
            <w:pPr>
              <w:pStyle w:val="8"/>
              <w:rPr>
                <w:color w:val="auto"/>
                <w:highlight w:val="none"/>
                <w:lang w:eastAsia="zh-CN"/>
              </w:rPr>
            </w:pPr>
          </w:p>
          <w:p>
            <w:pPr>
              <w:pStyle w:val="8"/>
              <w:spacing w:before="144" w:beforeLines="0"/>
              <w:ind w:left="48"/>
              <w:rPr>
                <w:color w:val="auto"/>
                <w:highlight w:val="none"/>
              </w:rPr>
            </w:pPr>
            <w:r>
              <w:rPr>
                <w:color w:val="auto"/>
                <w:highlight w:val="none"/>
              </w:rPr>
              <w:t>公务接待费</w:t>
            </w:r>
          </w:p>
        </w:tc>
        <w:tc>
          <w:tcPr>
            <w:tcW w:w="1215" w:type="dxa"/>
            <w:vMerge w:val="restart"/>
            <w:tcBorders>
              <w:top w:val="single" w:color="000000" w:sz="8" w:space="0"/>
              <w:left w:val="single" w:color="000000" w:sz="8" w:space="0"/>
              <w:right w:val="single" w:color="000000" w:sz="8" w:space="0"/>
            </w:tcBorders>
            <w:vAlign w:val="top"/>
          </w:tcPr>
          <w:p>
            <w:pPr>
              <w:pStyle w:val="8"/>
              <w:rPr>
                <w:color w:val="auto"/>
                <w:highlight w:val="none"/>
              </w:rPr>
            </w:pPr>
          </w:p>
          <w:p>
            <w:pPr>
              <w:pStyle w:val="8"/>
              <w:spacing w:before="144" w:beforeLines="0"/>
              <w:ind w:left="379"/>
              <w:rPr>
                <w:color w:val="auto"/>
                <w:highlight w:val="none"/>
              </w:rPr>
            </w:pPr>
            <w:r>
              <w:rPr>
                <w:color w:val="auto"/>
                <w:highlight w:val="none"/>
              </w:rPr>
              <w:t>合计</w:t>
            </w:r>
          </w:p>
        </w:tc>
        <w:tc>
          <w:tcPr>
            <w:tcW w:w="1214" w:type="dxa"/>
            <w:vMerge w:val="restart"/>
            <w:tcBorders>
              <w:top w:val="single" w:color="000000" w:sz="8" w:space="0"/>
              <w:left w:val="single" w:color="000000" w:sz="8" w:space="0"/>
              <w:right w:val="single" w:color="000000" w:sz="8" w:space="0"/>
            </w:tcBorders>
            <w:vAlign w:val="top"/>
          </w:tcPr>
          <w:p>
            <w:pPr>
              <w:pStyle w:val="8"/>
              <w:spacing w:before="9" w:beforeLines="0"/>
              <w:rPr>
                <w:color w:val="auto"/>
                <w:highlight w:val="none"/>
              </w:rPr>
            </w:pPr>
          </w:p>
          <w:p>
            <w:pPr>
              <w:pStyle w:val="8"/>
              <w:spacing w:line="280" w:lineRule="exact"/>
              <w:ind w:left="158"/>
              <w:rPr>
                <w:color w:val="auto"/>
                <w:highlight w:val="none"/>
              </w:rPr>
            </w:pPr>
            <w:r>
              <w:rPr>
                <w:color w:val="auto"/>
                <w:highlight w:val="none"/>
              </w:rPr>
              <w:t>因公出国</w:t>
            </w:r>
          </w:p>
          <w:p>
            <w:pPr>
              <w:pStyle w:val="8"/>
              <w:spacing w:line="280" w:lineRule="exact"/>
              <w:ind w:left="158"/>
              <w:rPr>
                <w:color w:val="auto"/>
                <w:highlight w:val="none"/>
              </w:rPr>
            </w:pPr>
            <w:r>
              <w:rPr>
                <w:color w:val="auto"/>
                <w:highlight w:val="none"/>
              </w:rPr>
              <w:t>（境）费</w:t>
            </w:r>
          </w:p>
        </w:tc>
        <w:tc>
          <w:tcPr>
            <w:tcW w:w="3644" w:type="dxa"/>
            <w:gridSpan w:val="3"/>
            <w:tcBorders>
              <w:top w:val="single" w:color="000000" w:sz="8" w:space="0"/>
              <w:left w:val="single" w:color="000000" w:sz="8" w:space="0"/>
              <w:bottom w:val="single" w:color="000000" w:sz="8" w:space="0"/>
              <w:right w:val="single" w:color="000000" w:sz="8" w:space="0"/>
            </w:tcBorders>
            <w:vAlign w:val="top"/>
          </w:tcPr>
          <w:p>
            <w:pPr>
              <w:pStyle w:val="8"/>
              <w:spacing w:before="124" w:beforeLines="0"/>
              <w:ind w:left="710"/>
              <w:rPr>
                <w:color w:val="auto"/>
                <w:highlight w:val="none"/>
                <w:lang w:eastAsia="zh-CN"/>
              </w:rPr>
            </w:pPr>
            <w:r>
              <w:rPr>
                <w:color w:val="auto"/>
                <w:highlight w:val="none"/>
                <w:lang w:eastAsia="zh-CN"/>
              </w:rPr>
              <w:t>公务用车购置及运行费</w:t>
            </w:r>
          </w:p>
        </w:tc>
        <w:tc>
          <w:tcPr>
            <w:tcW w:w="1321" w:type="dxa"/>
            <w:vMerge w:val="restart"/>
            <w:tcBorders>
              <w:top w:val="single" w:color="000000" w:sz="8" w:space="0"/>
              <w:left w:val="single" w:color="000000" w:sz="8" w:space="0"/>
            </w:tcBorders>
            <w:vAlign w:val="top"/>
          </w:tcPr>
          <w:p>
            <w:pPr>
              <w:pStyle w:val="8"/>
              <w:rPr>
                <w:color w:val="auto"/>
                <w:highlight w:val="none"/>
                <w:lang w:eastAsia="zh-CN"/>
              </w:rPr>
            </w:pPr>
          </w:p>
          <w:p>
            <w:pPr>
              <w:pStyle w:val="8"/>
              <w:spacing w:before="144" w:beforeLines="0"/>
              <w:ind w:left="48"/>
              <w:rPr>
                <w:color w:val="auto"/>
                <w:highlight w:val="none"/>
              </w:rPr>
            </w:pPr>
            <w:r>
              <w:rPr>
                <w:color w:val="auto"/>
                <w:highlight w:val="none"/>
              </w:rPr>
              <w:t>公务接待费</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615" w:hRule="exact"/>
        </w:trPr>
        <w:tc>
          <w:tcPr>
            <w:tcW w:w="714" w:type="dxa"/>
            <w:vMerge w:val="continue"/>
            <w:tcBorders>
              <w:bottom w:val="single" w:color="000000" w:sz="8" w:space="0"/>
              <w:right w:val="single" w:color="000000" w:sz="8" w:space="0"/>
            </w:tcBorders>
            <w:vAlign w:val="top"/>
          </w:tcPr>
          <w:p>
            <w:pPr>
              <w:rPr>
                <w:color w:val="auto"/>
                <w:highlight w:val="none"/>
              </w:rPr>
            </w:pPr>
          </w:p>
        </w:tc>
        <w:tc>
          <w:tcPr>
            <w:tcW w:w="1214" w:type="dxa"/>
            <w:vMerge w:val="continue"/>
            <w:tcBorders>
              <w:left w:val="single" w:color="000000" w:sz="8" w:space="0"/>
              <w:bottom w:val="single" w:color="000000" w:sz="8" w:space="0"/>
              <w:right w:val="single" w:color="000000" w:sz="8" w:space="0"/>
            </w:tcBorders>
            <w:vAlign w:val="top"/>
          </w:tcPr>
          <w:p>
            <w:pPr>
              <w:rPr>
                <w:color w:val="auto"/>
                <w:highlight w:val="none"/>
              </w:rPr>
            </w:pPr>
          </w:p>
        </w:tc>
        <w:tc>
          <w:tcPr>
            <w:tcW w:w="1214" w:type="dxa"/>
            <w:tcBorders>
              <w:top w:val="single" w:color="000000" w:sz="8" w:space="0"/>
              <w:left w:val="single" w:color="000000" w:sz="8" w:space="0"/>
              <w:bottom w:val="single" w:color="000000" w:sz="8" w:space="0"/>
              <w:right w:val="single" w:color="000000" w:sz="8" w:space="0"/>
            </w:tcBorders>
            <w:vAlign w:val="top"/>
          </w:tcPr>
          <w:p>
            <w:pPr>
              <w:pStyle w:val="8"/>
              <w:spacing w:before="134" w:beforeLines="0"/>
              <w:ind w:left="359" w:right="355"/>
              <w:jc w:val="center"/>
              <w:rPr>
                <w:color w:val="auto"/>
                <w:highlight w:val="none"/>
              </w:rPr>
            </w:pPr>
            <w:r>
              <w:rPr>
                <w:color w:val="auto"/>
                <w:highlight w:val="none"/>
              </w:rPr>
              <w:t>小计</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8"/>
              <w:spacing w:before="39" w:beforeLines="0" w:line="272" w:lineRule="exact"/>
              <w:ind w:left="268" w:right="138" w:hanging="111"/>
              <w:rPr>
                <w:color w:val="auto"/>
                <w:highlight w:val="none"/>
              </w:rPr>
            </w:pPr>
            <w:r>
              <w:rPr>
                <w:color w:val="auto"/>
                <w:highlight w:val="none"/>
              </w:rPr>
              <w:t>公务用车 购置费</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8"/>
              <w:spacing w:before="39" w:beforeLines="0" w:line="272" w:lineRule="exact"/>
              <w:ind w:left="268" w:right="138" w:hanging="111"/>
              <w:rPr>
                <w:color w:val="auto"/>
                <w:highlight w:val="none"/>
              </w:rPr>
            </w:pPr>
            <w:r>
              <w:rPr>
                <w:color w:val="auto"/>
                <w:highlight w:val="none"/>
              </w:rPr>
              <w:t>公务用车 运行费</w:t>
            </w:r>
          </w:p>
        </w:tc>
        <w:tc>
          <w:tcPr>
            <w:tcW w:w="1734" w:type="dxa"/>
            <w:vMerge w:val="continue"/>
            <w:tcBorders>
              <w:left w:val="single" w:color="000000" w:sz="8" w:space="0"/>
              <w:bottom w:val="single" w:color="000000" w:sz="8" w:space="0"/>
              <w:right w:val="single" w:color="000000" w:sz="8" w:space="0"/>
            </w:tcBorders>
            <w:vAlign w:val="top"/>
          </w:tcPr>
          <w:p>
            <w:pPr>
              <w:rPr>
                <w:color w:val="auto"/>
                <w:highlight w:val="none"/>
              </w:rPr>
            </w:pPr>
          </w:p>
        </w:tc>
        <w:tc>
          <w:tcPr>
            <w:tcW w:w="1215" w:type="dxa"/>
            <w:vMerge w:val="continue"/>
            <w:tcBorders>
              <w:left w:val="single" w:color="000000" w:sz="8" w:space="0"/>
              <w:bottom w:val="single" w:color="000000" w:sz="8" w:space="0"/>
              <w:right w:val="single" w:color="000000" w:sz="8" w:space="0"/>
            </w:tcBorders>
            <w:vAlign w:val="top"/>
          </w:tcPr>
          <w:p>
            <w:pPr>
              <w:rPr>
                <w:color w:val="auto"/>
                <w:highlight w:val="none"/>
              </w:rPr>
            </w:pPr>
          </w:p>
        </w:tc>
        <w:tc>
          <w:tcPr>
            <w:tcW w:w="1214" w:type="dxa"/>
            <w:vMerge w:val="continue"/>
            <w:tcBorders>
              <w:left w:val="single" w:color="000000" w:sz="8" w:space="0"/>
              <w:bottom w:val="single" w:color="000000" w:sz="8" w:space="0"/>
              <w:right w:val="single" w:color="000000" w:sz="8" w:space="0"/>
            </w:tcBorders>
            <w:vAlign w:val="top"/>
          </w:tcPr>
          <w:p>
            <w:pPr>
              <w:rPr>
                <w:color w:val="auto"/>
                <w:highlight w:val="none"/>
              </w:rPr>
            </w:pPr>
          </w:p>
        </w:tc>
        <w:tc>
          <w:tcPr>
            <w:tcW w:w="1214" w:type="dxa"/>
            <w:tcBorders>
              <w:top w:val="single" w:color="000000" w:sz="8" w:space="0"/>
              <w:left w:val="single" w:color="000000" w:sz="8" w:space="0"/>
              <w:bottom w:val="single" w:color="000000" w:sz="8" w:space="0"/>
              <w:right w:val="single" w:color="000000" w:sz="8" w:space="0"/>
            </w:tcBorders>
            <w:vAlign w:val="top"/>
          </w:tcPr>
          <w:p>
            <w:pPr>
              <w:pStyle w:val="8"/>
              <w:spacing w:before="134" w:beforeLines="0"/>
              <w:ind w:left="359" w:right="354"/>
              <w:jc w:val="center"/>
              <w:rPr>
                <w:color w:val="auto"/>
                <w:highlight w:val="none"/>
              </w:rPr>
            </w:pPr>
            <w:r>
              <w:rPr>
                <w:color w:val="auto"/>
                <w:highlight w:val="none"/>
              </w:rPr>
              <w:t>小计</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8"/>
              <w:spacing w:before="39" w:beforeLines="0" w:line="272" w:lineRule="exact"/>
              <w:ind w:left="268" w:right="138" w:hanging="111"/>
              <w:rPr>
                <w:color w:val="auto"/>
                <w:highlight w:val="none"/>
              </w:rPr>
            </w:pPr>
            <w:r>
              <w:rPr>
                <w:color w:val="auto"/>
                <w:highlight w:val="none"/>
              </w:rPr>
              <w:t>公务用车 购置费</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8"/>
              <w:spacing w:before="39" w:beforeLines="0" w:line="272" w:lineRule="exact"/>
              <w:ind w:left="268" w:right="138" w:hanging="111"/>
              <w:rPr>
                <w:color w:val="auto"/>
                <w:highlight w:val="none"/>
              </w:rPr>
            </w:pPr>
            <w:r>
              <w:rPr>
                <w:color w:val="auto"/>
                <w:highlight w:val="none"/>
              </w:rPr>
              <w:t>公务用车 运行费</w:t>
            </w:r>
          </w:p>
        </w:tc>
        <w:tc>
          <w:tcPr>
            <w:tcW w:w="1321" w:type="dxa"/>
            <w:vMerge w:val="continue"/>
            <w:tcBorders>
              <w:left w:val="single" w:color="000000" w:sz="8" w:space="0"/>
              <w:bottom w:val="single" w:color="000000" w:sz="8" w:space="0"/>
            </w:tcBorders>
            <w:vAlign w:val="top"/>
          </w:tcPr>
          <w:p>
            <w:pPr>
              <w:rPr>
                <w:color w:val="auto"/>
                <w:highlight w:val="none"/>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74" w:hRule="exact"/>
        </w:trPr>
        <w:tc>
          <w:tcPr>
            <w:tcW w:w="714" w:type="dxa"/>
            <w:tcBorders>
              <w:top w:val="single" w:color="000000" w:sz="8" w:space="0"/>
              <w:bottom w:val="single" w:color="000000" w:sz="8" w:space="0"/>
              <w:right w:val="single" w:color="000000" w:sz="8" w:space="0"/>
            </w:tcBorders>
            <w:vAlign w:val="top"/>
          </w:tcPr>
          <w:p>
            <w:pPr>
              <w:pStyle w:val="8"/>
              <w:spacing w:before="115" w:beforeLines="0"/>
              <w:ind w:right="3"/>
              <w:jc w:val="center"/>
              <w:rPr>
                <w:color w:val="auto"/>
                <w:highlight w:val="none"/>
              </w:rPr>
            </w:pPr>
            <w:r>
              <w:rPr>
                <w:color w:val="auto"/>
                <w:highlight w:val="none"/>
              </w:rPr>
              <w:t>1</w:t>
            </w:r>
          </w:p>
        </w:tc>
        <w:tc>
          <w:tcPr>
            <w:tcW w:w="1214" w:type="dxa"/>
            <w:tcBorders>
              <w:top w:val="single" w:color="000000" w:sz="8" w:space="0"/>
              <w:left w:val="single" w:color="000000" w:sz="8" w:space="0"/>
              <w:bottom w:val="single" w:color="000000" w:sz="8" w:space="0"/>
              <w:right w:val="single" w:color="000000" w:sz="8" w:space="0"/>
            </w:tcBorders>
            <w:vAlign w:val="top"/>
          </w:tcPr>
          <w:p>
            <w:pPr>
              <w:pStyle w:val="8"/>
              <w:spacing w:before="115" w:beforeLines="0"/>
              <w:ind w:left="5"/>
              <w:jc w:val="center"/>
              <w:rPr>
                <w:color w:val="auto"/>
                <w:highlight w:val="none"/>
              </w:rPr>
            </w:pPr>
            <w:r>
              <w:rPr>
                <w:color w:val="auto"/>
                <w:highlight w:val="none"/>
              </w:rPr>
              <w:t>2</w:t>
            </w:r>
          </w:p>
        </w:tc>
        <w:tc>
          <w:tcPr>
            <w:tcW w:w="1214" w:type="dxa"/>
            <w:tcBorders>
              <w:top w:val="single" w:color="000000" w:sz="8" w:space="0"/>
              <w:left w:val="single" w:color="000000" w:sz="8" w:space="0"/>
              <w:bottom w:val="single" w:color="000000" w:sz="8" w:space="0"/>
              <w:right w:val="single" w:color="000000" w:sz="8" w:space="0"/>
            </w:tcBorders>
            <w:vAlign w:val="top"/>
          </w:tcPr>
          <w:p>
            <w:pPr>
              <w:pStyle w:val="8"/>
              <w:spacing w:before="115" w:beforeLines="0"/>
              <w:ind w:left="4"/>
              <w:jc w:val="center"/>
              <w:rPr>
                <w:color w:val="auto"/>
                <w:highlight w:val="none"/>
              </w:rPr>
            </w:pPr>
            <w:r>
              <w:rPr>
                <w:color w:val="auto"/>
                <w:highlight w:val="none"/>
              </w:rPr>
              <w:t>3</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8"/>
              <w:spacing w:before="115" w:beforeLines="0"/>
              <w:ind w:left="4"/>
              <w:jc w:val="center"/>
              <w:rPr>
                <w:color w:val="auto"/>
                <w:highlight w:val="none"/>
              </w:rPr>
            </w:pPr>
            <w:r>
              <w:rPr>
                <w:color w:val="auto"/>
                <w:highlight w:val="none"/>
              </w:rPr>
              <w:t>4</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8"/>
              <w:spacing w:before="115" w:beforeLines="0"/>
              <w:ind w:left="5"/>
              <w:jc w:val="center"/>
              <w:rPr>
                <w:color w:val="auto"/>
                <w:highlight w:val="none"/>
              </w:rPr>
            </w:pPr>
            <w:r>
              <w:rPr>
                <w:color w:val="auto"/>
                <w:highlight w:val="none"/>
              </w:rPr>
              <w:t>5</w:t>
            </w:r>
          </w:p>
        </w:tc>
        <w:tc>
          <w:tcPr>
            <w:tcW w:w="1734" w:type="dxa"/>
            <w:tcBorders>
              <w:top w:val="single" w:color="000000" w:sz="8" w:space="0"/>
              <w:left w:val="single" w:color="000000" w:sz="8" w:space="0"/>
              <w:bottom w:val="single" w:color="000000" w:sz="8" w:space="0"/>
              <w:right w:val="single" w:color="000000" w:sz="8" w:space="0"/>
            </w:tcBorders>
            <w:vAlign w:val="top"/>
          </w:tcPr>
          <w:p>
            <w:pPr>
              <w:pStyle w:val="8"/>
              <w:spacing w:before="115" w:beforeLines="0"/>
              <w:ind w:left="5"/>
              <w:jc w:val="center"/>
              <w:rPr>
                <w:color w:val="auto"/>
                <w:highlight w:val="none"/>
              </w:rPr>
            </w:pPr>
            <w:r>
              <w:rPr>
                <w:color w:val="auto"/>
                <w:highlight w:val="none"/>
              </w:rPr>
              <w:t>6</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8"/>
              <w:spacing w:before="115" w:beforeLines="0"/>
              <w:ind w:left="5"/>
              <w:jc w:val="center"/>
              <w:rPr>
                <w:color w:val="auto"/>
                <w:highlight w:val="none"/>
              </w:rPr>
            </w:pPr>
            <w:r>
              <w:rPr>
                <w:color w:val="auto"/>
                <w:highlight w:val="none"/>
              </w:rPr>
              <w:t>7</w:t>
            </w:r>
          </w:p>
        </w:tc>
        <w:tc>
          <w:tcPr>
            <w:tcW w:w="1214" w:type="dxa"/>
            <w:tcBorders>
              <w:top w:val="single" w:color="000000" w:sz="8" w:space="0"/>
              <w:left w:val="single" w:color="000000" w:sz="8" w:space="0"/>
              <w:bottom w:val="single" w:color="000000" w:sz="8" w:space="0"/>
              <w:right w:val="single" w:color="000000" w:sz="8" w:space="0"/>
            </w:tcBorders>
            <w:vAlign w:val="top"/>
          </w:tcPr>
          <w:p>
            <w:pPr>
              <w:pStyle w:val="8"/>
              <w:spacing w:before="115" w:beforeLines="0"/>
              <w:ind w:left="4"/>
              <w:jc w:val="center"/>
              <w:rPr>
                <w:color w:val="auto"/>
                <w:highlight w:val="none"/>
              </w:rPr>
            </w:pPr>
            <w:r>
              <w:rPr>
                <w:color w:val="auto"/>
                <w:highlight w:val="none"/>
              </w:rPr>
              <w:t>8</w:t>
            </w:r>
          </w:p>
        </w:tc>
        <w:tc>
          <w:tcPr>
            <w:tcW w:w="1214" w:type="dxa"/>
            <w:tcBorders>
              <w:top w:val="single" w:color="000000" w:sz="8" w:space="0"/>
              <w:left w:val="single" w:color="000000" w:sz="8" w:space="0"/>
              <w:bottom w:val="single" w:color="000000" w:sz="8" w:space="0"/>
              <w:right w:val="single" w:color="000000" w:sz="8" w:space="0"/>
            </w:tcBorders>
            <w:vAlign w:val="top"/>
          </w:tcPr>
          <w:p>
            <w:pPr>
              <w:pStyle w:val="8"/>
              <w:spacing w:before="115" w:beforeLines="0"/>
              <w:ind w:left="5"/>
              <w:jc w:val="center"/>
              <w:rPr>
                <w:color w:val="auto"/>
                <w:highlight w:val="none"/>
              </w:rPr>
            </w:pPr>
            <w:r>
              <w:rPr>
                <w:color w:val="auto"/>
                <w:highlight w:val="none"/>
              </w:rPr>
              <w:t>9</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8"/>
              <w:spacing w:before="115" w:beforeLines="0"/>
              <w:ind w:left="470" w:right="465"/>
              <w:jc w:val="center"/>
              <w:rPr>
                <w:color w:val="auto"/>
                <w:highlight w:val="none"/>
              </w:rPr>
            </w:pPr>
            <w:r>
              <w:rPr>
                <w:color w:val="auto"/>
                <w:highlight w:val="none"/>
              </w:rPr>
              <w:t>10</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8"/>
              <w:spacing w:before="115" w:beforeLines="0"/>
              <w:ind w:left="359" w:right="355"/>
              <w:jc w:val="center"/>
              <w:rPr>
                <w:color w:val="auto"/>
                <w:highlight w:val="none"/>
              </w:rPr>
            </w:pPr>
            <w:r>
              <w:rPr>
                <w:color w:val="auto"/>
                <w:highlight w:val="none"/>
              </w:rPr>
              <w:t>11</w:t>
            </w:r>
          </w:p>
        </w:tc>
        <w:tc>
          <w:tcPr>
            <w:tcW w:w="1321" w:type="dxa"/>
            <w:tcBorders>
              <w:top w:val="single" w:color="000000" w:sz="8" w:space="0"/>
              <w:left w:val="single" w:color="000000" w:sz="8" w:space="0"/>
              <w:bottom w:val="single" w:color="000000" w:sz="8" w:space="0"/>
            </w:tcBorders>
            <w:vAlign w:val="top"/>
          </w:tcPr>
          <w:p>
            <w:pPr>
              <w:pStyle w:val="8"/>
              <w:spacing w:before="115" w:beforeLines="0"/>
              <w:ind w:left="469" w:right="455"/>
              <w:jc w:val="center"/>
              <w:rPr>
                <w:color w:val="auto"/>
                <w:highlight w:val="none"/>
              </w:rPr>
            </w:pPr>
            <w:r>
              <w:rPr>
                <w:color w:val="auto"/>
                <w:highlight w:val="none"/>
              </w:rPr>
              <w:t>12</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878" w:hRule="exact"/>
        </w:trPr>
        <w:tc>
          <w:tcPr>
            <w:tcW w:w="714" w:type="dxa"/>
            <w:tcBorders>
              <w:top w:val="single" w:color="000000" w:sz="8" w:space="0"/>
              <w:right w:val="single" w:color="000000" w:sz="8" w:space="0"/>
            </w:tcBorders>
            <w:vAlign w:val="top"/>
          </w:tcPr>
          <w:p>
            <w:pPr>
              <w:rPr>
                <w:rFonts w:hint="eastAsia" w:eastAsia="宋体"/>
                <w:color w:val="auto"/>
                <w:highlight w:val="none"/>
                <w:lang w:val="en-US" w:eastAsia="zh-CN"/>
              </w:rPr>
            </w:pPr>
            <w:r>
              <w:rPr>
                <w:rFonts w:hint="eastAsia" w:eastAsia="宋体"/>
                <w:color w:val="auto"/>
                <w:highlight w:val="none"/>
                <w:lang w:val="en-US" w:eastAsia="zh-CN"/>
              </w:rPr>
              <w:t>3.9</w:t>
            </w:r>
          </w:p>
        </w:tc>
        <w:tc>
          <w:tcPr>
            <w:tcW w:w="1214" w:type="dxa"/>
            <w:tcBorders>
              <w:top w:val="single" w:color="000000" w:sz="8" w:space="0"/>
              <w:left w:val="single" w:color="000000" w:sz="8" w:space="0"/>
              <w:right w:val="single" w:color="000000" w:sz="8" w:space="0"/>
            </w:tcBorders>
            <w:vAlign w:val="top"/>
          </w:tcPr>
          <w:p>
            <w:pPr>
              <w:rPr>
                <w:rFonts w:hint="eastAsia" w:eastAsia="宋体"/>
                <w:color w:val="auto"/>
                <w:highlight w:val="none"/>
                <w:lang w:val="en-US" w:eastAsia="zh-CN"/>
              </w:rPr>
            </w:pPr>
          </w:p>
        </w:tc>
        <w:tc>
          <w:tcPr>
            <w:tcW w:w="1214" w:type="dxa"/>
            <w:tcBorders>
              <w:top w:val="single" w:color="000000" w:sz="8" w:space="0"/>
              <w:left w:val="single" w:color="000000" w:sz="8" w:space="0"/>
              <w:right w:val="single" w:color="000000" w:sz="8" w:space="0"/>
            </w:tcBorders>
            <w:vAlign w:val="top"/>
          </w:tcPr>
          <w:p>
            <w:pPr>
              <w:rPr>
                <w:rFonts w:hint="eastAsia" w:eastAsia="宋体"/>
                <w:color w:val="auto"/>
                <w:highlight w:val="none"/>
                <w:lang w:val="en-US" w:eastAsia="zh-CN"/>
              </w:rPr>
            </w:pPr>
            <w:r>
              <w:rPr>
                <w:rFonts w:hint="eastAsia"/>
                <w:color w:val="auto"/>
                <w:highlight w:val="none"/>
                <w:lang w:val="en-US" w:eastAsia="zh-CN"/>
              </w:rPr>
              <w:t>3.9</w:t>
            </w:r>
          </w:p>
        </w:tc>
        <w:tc>
          <w:tcPr>
            <w:tcW w:w="1215" w:type="dxa"/>
            <w:tcBorders>
              <w:top w:val="single" w:color="000000" w:sz="8" w:space="0"/>
              <w:left w:val="single" w:color="000000" w:sz="8" w:space="0"/>
              <w:right w:val="single" w:color="000000" w:sz="8" w:space="0"/>
            </w:tcBorders>
            <w:vAlign w:val="top"/>
          </w:tcPr>
          <w:p>
            <w:pPr>
              <w:rPr>
                <w:rFonts w:hint="eastAsia" w:eastAsia="宋体"/>
                <w:color w:val="auto"/>
                <w:highlight w:val="none"/>
                <w:lang w:val="en-US" w:eastAsia="zh-CN"/>
              </w:rPr>
            </w:pPr>
            <w:r>
              <w:rPr>
                <w:rFonts w:hint="eastAsia"/>
                <w:color w:val="auto"/>
                <w:highlight w:val="none"/>
                <w:lang w:val="en-US" w:eastAsia="zh-CN"/>
              </w:rPr>
              <w:t>0</w:t>
            </w:r>
          </w:p>
        </w:tc>
        <w:tc>
          <w:tcPr>
            <w:tcW w:w="1215" w:type="dxa"/>
            <w:tcBorders>
              <w:top w:val="single" w:color="000000" w:sz="8" w:space="0"/>
              <w:left w:val="single" w:color="000000" w:sz="8" w:space="0"/>
              <w:right w:val="single" w:color="000000" w:sz="8" w:space="0"/>
            </w:tcBorders>
            <w:vAlign w:val="top"/>
          </w:tcPr>
          <w:p>
            <w:pPr>
              <w:rPr>
                <w:rFonts w:hint="eastAsia" w:eastAsia="宋体"/>
                <w:color w:val="auto"/>
                <w:highlight w:val="none"/>
                <w:lang w:val="en-US" w:eastAsia="zh-CN"/>
              </w:rPr>
            </w:pPr>
            <w:r>
              <w:rPr>
                <w:rFonts w:hint="eastAsia"/>
                <w:color w:val="auto"/>
                <w:highlight w:val="none"/>
                <w:lang w:val="en-US" w:eastAsia="zh-CN"/>
              </w:rPr>
              <w:t>3.9</w:t>
            </w:r>
          </w:p>
        </w:tc>
        <w:tc>
          <w:tcPr>
            <w:tcW w:w="1734" w:type="dxa"/>
            <w:tcBorders>
              <w:top w:val="single" w:color="000000" w:sz="8" w:space="0"/>
              <w:left w:val="single" w:color="000000" w:sz="8" w:space="0"/>
              <w:right w:val="single" w:color="000000" w:sz="8" w:space="0"/>
            </w:tcBorders>
            <w:vAlign w:val="top"/>
          </w:tcPr>
          <w:p>
            <w:pPr>
              <w:rPr>
                <w:rFonts w:hint="eastAsia" w:eastAsia="宋体"/>
                <w:color w:val="auto"/>
                <w:highlight w:val="none"/>
                <w:lang w:val="en-US" w:eastAsia="zh-CN"/>
              </w:rPr>
            </w:pPr>
            <w:r>
              <w:rPr>
                <w:rFonts w:hint="eastAsia"/>
                <w:color w:val="auto"/>
                <w:highlight w:val="none"/>
                <w:lang w:val="en-US" w:eastAsia="zh-CN"/>
              </w:rPr>
              <w:t>0</w:t>
            </w:r>
          </w:p>
        </w:tc>
        <w:tc>
          <w:tcPr>
            <w:tcW w:w="1215" w:type="dxa"/>
            <w:tcBorders>
              <w:top w:val="single" w:color="000000" w:sz="8" w:space="0"/>
              <w:left w:val="single" w:color="000000" w:sz="8" w:space="0"/>
              <w:right w:val="single" w:color="000000" w:sz="8" w:space="0"/>
            </w:tcBorders>
            <w:vAlign w:val="top"/>
          </w:tcPr>
          <w:p>
            <w:pPr>
              <w:rPr>
                <w:rFonts w:hint="eastAsia" w:eastAsia="宋体"/>
                <w:color w:val="auto"/>
                <w:highlight w:val="none"/>
                <w:lang w:val="en-US" w:eastAsia="zh-CN"/>
              </w:rPr>
            </w:pPr>
            <w:r>
              <w:rPr>
                <w:rFonts w:hint="eastAsia"/>
                <w:color w:val="auto"/>
                <w:highlight w:val="none"/>
                <w:lang w:val="en-US" w:eastAsia="zh-CN"/>
              </w:rPr>
              <w:t>3.88</w:t>
            </w:r>
          </w:p>
        </w:tc>
        <w:tc>
          <w:tcPr>
            <w:tcW w:w="1214" w:type="dxa"/>
            <w:tcBorders>
              <w:top w:val="single" w:color="000000" w:sz="8" w:space="0"/>
              <w:left w:val="single" w:color="000000" w:sz="8" w:space="0"/>
              <w:right w:val="single" w:color="000000" w:sz="8" w:space="0"/>
            </w:tcBorders>
            <w:vAlign w:val="top"/>
          </w:tcPr>
          <w:p>
            <w:pPr>
              <w:rPr>
                <w:rFonts w:hint="eastAsia" w:eastAsia="宋体"/>
                <w:color w:val="auto"/>
                <w:highlight w:val="none"/>
                <w:lang w:val="en-US" w:eastAsia="zh-CN"/>
              </w:rPr>
            </w:pPr>
          </w:p>
        </w:tc>
        <w:tc>
          <w:tcPr>
            <w:tcW w:w="1214" w:type="dxa"/>
            <w:tcBorders>
              <w:top w:val="single" w:color="000000" w:sz="8" w:space="0"/>
              <w:left w:val="single" w:color="000000" w:sz="8" w:space="0"/>
              <w:right w:val="single" w:color="000000" w:sz="8" w:space="0"/>
            </w:tcBorders>
            <w:vAlign w:val="top"/>
          </w:tcPr>
          <w:p>
            <w:pPr>
              <w:rPr>
                <w:rFonts w:hint="eastAsia" w:eastAsia="宋体"/>
                <w:color w:val="auto"/>
                <w:highlight w:val="none"/>
                <w:lang w:val="en-US" w:eastAsia="zh-CN"/>
              </w:rPr>
            </w:pPr>
            <w:r>
              <w:rPr>
                <w:rFonts w:hint="eastAsia"/>
                <w:color w:val="auto"/>
                <w:highlight w:val="none"/>
                <w:lang w:val="en-US" w:eastAsia="zh-CN"/>
              </w:rPr>
              <w:t>3.88</w:t>
            </w:r>
          </w:p>
        </w:tc>
        <w:tc>
          <w:tcPr>
            <w:tcW w:w="1215" w:type="dxa"/>
            <w:tcBorders>
              <w:top w:val="single" w:color="000000" w:sz="8" w:space="0"/>
              <w:left w:val="single" w:color="000000" w:sz="8" w:space="0"/>
              <w:right w:val="single" w:color="000000" w:sz="8" w:space="0"/>
            </w:tcBorders>
            <w:vAlign w:val="top"/>
          </w:tcPr>
          <w:p>
            <w:pPr>
              <w:rPr>
                <w:rFonts w:hint="eastAsia" w:eastAsia="宋体"/>
                <w:color w:val="auto"/>
                <w:highlight w:val="none"/>
                <w:lang w:val="en-US" w:eastAsia="zh-CN"/>
              </w:rPr>
            </w:pPr>
            <w:r>
              <w:rPr>
                <w:rFonts w:hint="eastAsia"/>
                <w:color w:val="auto"/>
                <w:highlight w:val="none"/>
                <w:lang w:val="en-US" w:eastAsia="zh-CN"/>
              </w:rPr>
              <w:t>0</w:t>
            </w:r>
          </w:p>
        </w:tc>
        <w:tc>
          <w:tcPr>
            <w:tcW w:w="1215" w:type="dxa"/>
            <w:tcBorders>
              <w:top w:val="single" w:color="000000" w:sz="8" w:space="0"/>
              <w:left w:val="single" w:color="000000" w:sz="8" w:space="0"/>
              <w:right w:val="single" w:color="000000" w:sz="8" w:space="0"/>
            </w:tcBorders>
            <w:vAlign w:val="top"/>
          </w:tcPr>
          <w:p>
            <w:pPr>
              <w:rPr>
                <w:rFonts w:hint="eastAsia" w:eastAsia="宋体"/>
                <w:color w:val="auto"/>
                <w:highlight w:val="none"/>
                <w:lang w:val="en-US" w:eastAsia="zh-CN"/>
              </w:rPr>
            </w:pPr>
            <w:r>
              <w:rPr>
                <w:rFonts w:hint="eastAsia"/>
                <w:color w:val="auto"/>
                <w:highlight w:val="none"/>
                <w:lang w:val="en-US" w:eastAsia="zh-CN"/>
              </w:rPr>
              <w:t>3.88</w:t>
            </w:r>
          </w:p>
        </w:tc>
        <w:tc>
          <w:tcPr>
            <w:tcW w:w="1321" w:type="dxa"/>
            <w:tcBorders>
              <w:top w:val="single" w:color="000000" w:sz="8" w:space="0"/>
              <w:left w:val="single" w:color="000000" w:sz="8" w:space="0"/>
            </w:tcBorders>
            <w:vAlign w:val="top"/>
          </w:tcPr>
          <w:p>
            <w:pPr>
              <w:rPr>
                <w:rFonts w:hint="eastAsia" w:eastAsia="宋体"/>
                <w:color w:val="auto"/>
                <w:highlight w:val="none"/>
                <w:lang w:val="en-US" w:eastAsia="zh-CN"/>
              </w:rPr>
            </w:pPr>
            <w:r>
              <w:rPr>
                <w:rFonts w:hint="eastAsia"/>
                <w:color w:val="auto"/>
                <w:highlight w:val="none"/>
                <w:lang w:val="en-US" w:eastAsia="zh-CN"/>
              </w:rPr>
              <w:t>0</w:t>
            </w:r>
          </w:p>
        </w:tc>
      </w:tr>
    </w:tbl>
    <w:p>
      <w:pPr>
        <w:pStyle w:val="2"/>
        <w:spacing w:before="4" w:beforeLines="0"/>
        <w:ind w:left="0"/>
        <w:rPr>
          <w:color w:val="auto"/>
          <w:sz w:val="6"/>
          <w:highlight w:val="none"/>
        </w:rPr>
      </w:pPr>
    </w:p>
    <w:p>
      <w:pPr>
        <w:ind w:firstLine="480" w:firstLineChars="200"/>
        <w:rPr>
          <w:rFonts w:hint="eastAsia"/>
          <w:color w:val="auto"/>
          <w:sz w:val="24"/>
          <w:highlight w:val="none"/>
          <w:lang w:eastAsia="zh-CN"/>
        </w:rPr>
      </w:pPr>
      <w:r>
        <w:rPr>
          <w:color w:val="auto"/>
          <w:sz w:val="24"/>
          <w:highlight w:val="none"/>
          <w:lang w:eastAsia="zh-CN"/>
        </w:rPr>
        <w:t>注：</w:t>
      </w:r>
      <w:r>
        <w:rPr>
          <w:rFonts w:hint="eastAsia"/>
          <w:color w:val="auto"/>
          <w:sz w:val="24"/>
          <w:highlight w:val="none"/>
          <w:lang w:eastAsia="zh-CN"/>
        </w:rPr>
        <w:t>本表反映部门本年度“三公”经费支出预决算情况。其中，预算数为“三公”经费年初预算数，决算数是包括当年一般公共预算财政拨款</w:t>
      </w:r>
    </w:p>
    <w:p>
      <w:pPr>
        <w:ind w:firstLine="960" w:firstLineChars="400"/>
        <w:rPr>
          <w:color w:val="auto"/>
          <w:highlight w:val="none"/>
          <w:lang w:eastAsia="zh-CN"/>
        </w:rPr>
        <w:sectPr>
          <w:pgSz w:w="16840" w:h="11910" w:orient="landscape"/>
          <w:pgMar w:top="1560" w:right="380" w:bottom="-1265" w:left="380" w:header="720" w:footer="720" w:gutter="0"/>
          <w:pgNumType w:fmt="decimal"/>
          <w:cols w:space="720" w:num="1"/>
          <w:docGrid w:type="lines" w:linePitch="312" w:charSpace="0"/>
        </w:sectPr>
      </w:pPr>
      <w:r>
        <w:rPr>
          <w:rFonts w:hint="eastAsia"/>
          <w:color w:val="auto"/>
          <w:sz w:val="24"/>
          <w:highlight w:val="none"/>
          <w:lang w:eastAsia="zh-CN"/>
        </w:rPr>
        <w:t>和以前年度结转资金安排的实际支出。</w:t>
      </w:r>
    </w:p>
    <w:p>
      <w:pPr>
        <w:pStyle w:val="7"/>
        <w:spacing w:line="377" w:lineRule="exact"/>
        <w:ind w:left="4460"/>
        <w:rPr>
          <w:rFonts w:hint="eastAsia" w:ascii="PMingLiU" w:eastAsia="PMingLiU"/>
          <w:color w:val="auto"/>
          <w:highlight w:val="none"/>
          <w:lang w:eastAsia="zh-CN"/>
        </w:rPr>
      </w:pPr>
      <w:r>
        <w:rPr>
          <w:rFonts w:hint="eastAsia" w:ascii="PMingLiU" w:eastAsia="PMingLiU"/>
          <w:color w:val="auto"/>
          <w:w w:val="95"/>
          <w:highlight w:val="none"/>
          <w:lang w:eastAsia="zh-CN"/>
        </w:rPr>
        <w:t>政府性基金预算财政拨款收入支出决算表</w:t>
      </w:r>
    </w:p>
    <w:p>
      <w:pPr>
        <w:wordWrap/>
        <w:ind w:right="80"/>
        <w:jc w:val="right"/>
        <w:rPr>
          <w:rFonts w:hint="eastAsia"/>
          <w:color w:val="auto"/>
          <w:w w:val="95"/>
          <w:sz w:val="20"/>
          <w:highlight w:val="none"/>
          <w:lang w:eastAsia="zh-CN"/>
        </w:rPr>
      </w:pPr>
      <w:r>
        <w:rPr>
          <w:rFonts w:hint="eastAsia" w:eastAsia="宋体"/>
          <w:color w:val="auto"/>
          <w:w w:val="95"/>
          <w:sz w:val="20"/>
          <w:highlight w:val="none"/>
          <w:lang w:eastAsia="zh-CN"/>
        </w:rPr>
        <w:t xml:space="preserve">     </w:t>
      </w:r>
      <w:r>
        <w:rPr>
          <w:rFonts w:hint="eastAsia"/>
          <w:color w:val="auto"/>
          <w:w w:val="95"/>
          <w:sz w:val="20"/>
          <w:highlight w:val="none"/>
          <w:lang w:eastAsia="zh-CN"/>
        </w:rPr>
        <w:t>公开08表</w:t>
      </w:r>
    </w:p>
    <w:p>
      <w:pPr>
        <w:tabs>
          <w:tab w:val="left" w:pos="13665"/>
        </w:tabs>
        <w:spacing w:before="2" w:beforeLines="0" w:after="22" w:afterLines="0"/>
        <w:jc w:val="both"/>
        <w:rPr>
          <w:rFonts w:hint="eastAsia" w:eastAsia="宋体"/>
          <w:color w:val="auto"/>
          <w:highlight w:val="none"/>
          <w:lang w:eastAsia="zh-CN"/>
        </w:rPr>
      </w:pPr>
      <w:r>
        <w:rPr>
          <w:rFonts w:hint="eastAsia"/>
          <w:color w:val="auto"/>
          <w:sz w:val="20"/>
          <w:highlight w:val="none"/>
          <w:lang w:eastAsia="zh-CN"/>
        </w:rPr>
        <w:t xml:space="preserve">部门： </w:t>
      </w:r>
      <w:r>
        <w:rPr>
          <w:rFonts w:hint="eastAsia"/>
          <w:color w:val="auto"/>
          <w:w w:val="105"/>
          <w:sz w:val="18"/>
          <w:highlight w:val="none"/>
          <w:lang w:eastAsia="zh-CN"/>
        </w:rPr>
        <w:t>深圳市福田区文学艺术界联合会</w:t>
      </w:r>
      <w:r>
        <w:rPr>
          <w:rFonts w:hint="eastAsia"/>
          <w:color w:val="auto"/>
          <w:sz w:val="20"/>
          <w:highlight w:val="none"/>
          <w:lang w:eastAsia="zh-CN"/>
        </w:rPr>
        <w:t xml:space="preserve">                                              </w:t>
      </w:r>
      <w:r>
        <w:rPr>
          <w:rFonts w:hint="eastAsia" w:eastAsia="宋体"/>
          <w:color w:val="auto"/>
          <w:sz w:val="20"/>
          <w:highlight w:val="none"/>
          <w:lang w:eastAsia="zh-CN"/>
        </w:rPr>
        <w:t xml:space="preserve">                                     </w:t>
      </w:r>
      <w:r>
        <w:rPr>
          <w:rFonts w:hint="eastAsia"/>
          <w:color w:val="auto"/>
          <w:sz w:val="20"/>
          <w:highlight w:val="none"/>
          <w:lang w:val="en-US" w:eastAsia="zh-CN"/>
        </w:rPr>
        <w:t xml:space="preserve">       </w:t>
      </w:r>
      <w:r>
        <w:rPr>
          <w:rFonts w:hint="eastAsia" w:eastAsia="宋体"/>
          <w:color w:val="auto"/>
          <w:sz w:val="20"/>
          <w:highlight w:val="none"/>
          <w:lang w:eastAsia="zh-CN"/>
        </w:rPr>
        <w:t xml:space="preserve">     </w:t>
      </w:r>
      <w:r>
        <w:rPr>
          <w:rFonts w:hint="eastAsia"/>
          <w:color w:val="auto"/>
          <w:sz w:val="20"/>
          <w:highlight w:val="none"/>
          <w:lang w:eastAsia="zh-CN"/>
        </w:rPr>
        <w:t xml:space="preserve">单位：万元  </w:t>
      </w:r>
      <w:r>
        <w:rPr>
          <w:rFonts w:hint="eastAsia" w:eastAsia="宋体"/>
          <w:color w:val="auto"/>
          <w:highlight w:val="none"/>
          <w:lang w:eastAsia="zh-CN"/>
        </w:rPr>
        <w:t xml:space="preserve">                       </w:t>
      </w:r>
    </w:p>
    <w:tbl>
      <w:tblPr>
        <w:tblStyle w:val="5"/>
        <w:tblpPr w:leftFromText="180" w:rightFromText="180" w:vertAnchor="text" w:horzAnchor="margin" w:tblpX="-505" w:tblpY="172"/>
        <w:tblW w:w="1471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471"/>
        <w:gridCol w:w="1860"/>
        <w:gridCol w:w="1995"/>
        <w:gridCol w:w="1994"/>
        <w:gridCol w:w="1995"/>
        <w:gridCol w:w="1860"/>
        <w:gridCol w:w="1545"/>
        <w:gridCol w:w="199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5" w:hRule="exact"/>
        </w:trPr>
        <w:tc>
          <w:tcPr>
            <w:tcW w:w="3331" w:type="dxa"/>
            <w:gridSpan w:val="2"/>
            <w:vAlign w:val="top"/>
          </w:tcPr>
          <w:p>
            <w:pPr>
              <w:pStyle w:val="8"/>
              <w:tabs>
                <w:tab w:val="left" w:pos="1423"/>
              </w:tabs>
              <w:ind w:left="732"/>
              <w:rPr>
                <w:color w:val="auto"/>
                <w:sz w:val="24"/>
                <w:highlight w:val="none"/>
              </w:rPr>
            </w:pPr>
            <w:r>
              <w:rPr>
                <w:color w:val="auto"/>
                <w:sz w:val="24"/>
                <w:highlight w:val="none"/>
              </w:rPr>
              <w:t>项</w:t>
            </w:r>
            <w:r>
              <w:rPr>
                <w:color w:val="auto"/>
                <w:sz w:val="24"/>
                <w:highlight w:val="none"/>
              </w:rPr>
              <w:tab/>
            </w:r>
            <w:r>
              <w:rPr>
                <w:color w:val="auto"/>
                <w:sz w:val="24"/>
                <w:highlight w:val="none"/>
              </w:rPr>
              <w:t>目</w:t>
            </w:r>
          </w:p>
        </w:tc>
        <w:tc>
          <w:tcPr>
            <w:tcW w:w="1995" w:type="dxa"/>
            <w:vMerge w:val="restart"/>
            <w:vAlign w:val="top"/>
          </w:tcPr>
          <w:p>
            <w:pPr>
              <w:pStyle w:val="8"/>
              <w:rPr>
                <w:color w:val="auto"/>
                <w:sz w:val="24"/>
                <w:highlight w:val="none"/>
              </w:rPr>
            </w:pPr>
          </w:p>
          <w:p>
            <w:pPr>
              <w:pStyle w:val="8"/>
              <w:rPr>
                <w:color w:val="auto"/>
                <w:sz w:val="29"/>
                <w:highlight w:val="none"/>
              </w:rPr>
            </w:pPr>
          </w:p>
          <w:p>
            <w:pPr>
              <w:pStyle w:val="8"/>
              <w:ind w:left="148"/>
              <w:rPr>
                <w:color w:val="auto"/>
                <w:sz w:val="24"/>
                <w:highlight w:val="none"/>
              </w:rPr>
            </w:pPr>
            <w:r>
              <w:rPr>
                <w:color w:val="auto"/>
                <w:sz w:val="24"/>
                <w:highlight w:val="none"/>
              </w:rPr>
              <w:t>年初结转和结余</w:t>
            </w:r>
          </w:p>
        </w:tc>
        <w:tc>
          <w:tcPr>
            <w:tcW w:w="1994" w:type="dxa"/>
            <w:vMerge w:val="restart"/>
            <w:vAlign w:val="top"/>
          </w:tcPr>
          <w:p>
            <w:pPr>
              <w:pStyle w:val="8"/>
              <w:rPr>
                <w:color w:val="auto"/>
                <w:sz w:val="24"/>
                <w:highlight w:val="none"/>
              </w:rPr>
            </w:pPr>
          </w:p>
          <w:p>
            <w:pPr>
              <w:pStyle w:val="8"/>
              <w:rPr>
                <w:color w:val="auto"/>
                <w:sz w:val="29"/>
                <w:highlight w:val="none"/>
              </w:rPr>
            </w:pPr>
          </w:p>
          <w:p>
            <w:pPr>
              <w:pStyle w:val="8"/>
              <w:ind w:left="508"/>
              <w:rPr>
                <w:color w:val="auto"/>
                <w:sz w:val="24"/>
                <w:highlight w:val="none"/>
              </w:rPr>
            </w:pPr>
            <w:r>
              <w:rPr>
                <w:color w:val="auto"/>
                <w:sz w:val="24"/>
                <w:highlight w:val="none"/>
              </w:rPr>
              <w:t>本年收入</w:t>
            </w:r>
          </w:p>
        </w:tc>
        <w:tc>
          <w:tcPr>
            <w:tcW w:w="5400" w:type="dxa"/>
            <w:gridSpan w:val="3"/>
            <w:vAlign w:val="top"/>
          </w:tcPr>
          <w:p>
            <w:pPr>
              <w:pStyle w:val="8"/>
              <w:ind w:left="2483" w:right="2481"/>
              <w:jc w:val="center"/>
              <w:rPr>
                <w:color w:val="auto"/>
                <w:sz w:val="24"/>
                <w:highlight w:val="none"/>
              </w:rPr>
            </w:pPr>
            <w:r>
              <w:rPr>
                <w:color w:val="auto"/>
                <w:sz w:val="24"/>
                <w:highlight w:val="none"/>
              </w:rPr>
              <w:t>本年支出</w:t>
            </w:r>
          </w:p>
        </w:tc>
        <w:tc>
          <w:tcPr>
            <w:tcW w:w="1995" w:type="dxa"/>
            <w:vMerge w:val="restart"/>
            <w:vAlign w:val="top"/>
          </w:tcPr>
          <w:p>
            <w:pPr>
              <w:pStyle w:val="8"/>
              <w:rPr>
                <w:color w:val="auto"/>
                <w:sz w:val="24"/>
                <w:highlight w:val="none"/>
              </w:rPr>
            </w:pPr>
          </w:p>
          <w:p>
            <w:pPr>
              <w:pStyle w:val="8"/>
              <w:rPr>
                <w:color w:val="auto"/>
                <w:sz w:val="29"/>
                <w:highlight w:val="none"/>
              </w:rPr>
            </w:pPr>
          </w:p>
          <w:p>
            <w:pPr>
              <w:pStyle w:val="8"/>
              <w:ind w:left="148"/>
              <w:rPr>
                <w:color w:val="auto"/>
                <w:sz w:val="24"/>
                <w:highlight w:val="none"/>
              </w:rPr>
            </w:pPr>
            <w:r>
              <w:rPr>
                <w:color w:val="auto"/>
                <w:sz w:val="24"/>
                <w:highlight w:val="none"/>
              </w:rPr>
              <w:t>年末结转和结余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85" w:hRule="exact"/>
        </w:trPr>
        <w:tc>
          <w:tcPr>
            <w:tcW w:w="1471" w:type="dxa"/>
            <w:vAlign w:val="top"/>
          </w:tcPr>
          <w:p>
            <w:pPr>
              <w:pStyle w:val="8"/>
              <w:spacing w:line="292" w:lineRule="exact"/>
              <w:ind w:right="43"/>
              <w:rPr>
                <w:color w:val="auto"/>
                <w:sz w:val="24"/>
                <w:highlight w:val="none"/>
              </w:rPr>
            </w:pPr>
            <w:r>
              <w:rPr>
                <w:color w:val="auto"/>
                <w:sz w:val="24"/>
                <w:highlight w:val="none"/>
              </w:rPr>
              <w:t>功能分类 科目编码</w:t>
            </w:r>
          </w:p>
        </w:tc>
        <w:tc>
          <w:tcPr>
            <w:tcW w:w="1860" w:type="dxa"/>
            <w:vAlign w:val="top"/>
          </w:tcPr>
          <w:p>
            <w:pPr>
              <w:pStyle w:val="8"/>
              <w:rPr>
                <w:color w:val="auto"/>
                <w:sz w:val="24"/>
                <w:highlight w:val="none"/>
              </w:rPr>
            </w:pPr>
          </w:p>
          <w:p>
            <w:pPr>
              <w:pStyle w:val="8"/>
              <w:spacing w:before="181" w:beforeLines="0"/>
              <w:ind w:left="172"/>
              <w:rPr>
                <w:color w:val="auto"/>
                <w:sz w:val="24"/>
                <w:highlight w:val="none"/>
              </w:rPr>
            </w:pPr>
            <w:r>
              <w:rPr>
                <w:color w:val="auto"/>
                <w:sz w:val="24"/>
                <w:highlight w:val="none"/>
              </w:rPr>
              <w:t>科目名称</w:t>
            </w:r>
          </w:p>
        </w:tc>
        <w:tc>
          <w:tcPr>
            <w:tcW w:w="1995" w:type="dxa"/>
            <w:vMerge w:val="continue"/>
            <w:vAlign w:val="top"/>
          </w:tcPr>
          <w:p>
            <w:pPr>
              <w:rPr>
                <w:color w:val="auto"/>
                <w:highlight w:val="none"/>
              </w:rPr>
            </w:pPr>
          </w:p>
        </w:tc>
        <w:tc>
          <w:tcPr>
            <w:tcW w:w="1994" w:type="dxa"/>
            <w:vMerge w:val="continue"/>
            <w:vAlign w:val="top"/>
          </w:tcPr>
          <w:p>
            <w:pPr>
              <w:rPr>
                <w:color w:val="auto"/>
                <w:highlight w:val="none"/>
              </w:rPr>
            </w:pPr>
          </w:p>
        </w:tc>
        <w:tc>
          <w:tcPr>
            <w:tcW w:w="1995" w:type="dxa"/>
            <w:vAlign w:val="top"/>
          </w:tcPr>
          <w:p>
            <w:pPr>
              <w:pStyle w:val="8"/>
              <w:rPr>
                <w:color w:val="auto"/>
                <w:sz w:val="24"/>
                <w:highlight w:val="none"/>
              </w:rPr>
            </w:pPr>
          </w:p>
          <w:p>
            <w:pPr>
              <w:pStyle w:val="8"/>
              <w:spacing w:before="181" w:beforeLines="0"/>
              <w:ind w:left="728" w:right="726"/>
              <w:jc w:val="center"/>
              <w:rPr>
                <w:color w:val="auto"/>
                <w:sz w:val="24"/>
                <w:highlight w:val="none"/>
              </w:rPr>
            </w:pPr>
            <w:r>
              <w:rPr>
                <w:color w:val="auto"/>
                <w:sz w:val="24"/>
                <w:highlight w:val="none"/>
              </w:rPr>
              <w:t>小计</w:t>
            </w:r>
          </w:p>
        </w:tc>
        <w:tc>
          <w:tcPr>
            <w:tcW w:w="1860" w:type="dxa"/>
            <w:vAlign w:val="top"/>
          </w:tcPr>
          <w:p>
            <w:pPr>
              <w:pStyle w:val="8"/>
              <w:jc w:val="center"/>
              <w:rPr>
                <w:color w:val="auto"/>
                <w:sz w:val="24"/>
                <w:highlight w:val="none"/>
              </w:rPr>
            </w:pPr>
          </w:p>
          <w:p>
            <w:pPr>
              <w:pStyle w:val="8"/>
              <w:spacing w:before="181" w:beforeLines="0"/>
              <w:ind w:right="486"/>
              <w:jc w:val="center"/>
              <w:rPr>
                <w:color w:val="auto"/>
                <w:sz w:val="24"/>
                <w:highlight w:val="none"/>
              </w:rPr>
            </w:pPr>
            <w:r>
              <w:rPr>
                <w:rFonts w:hint="eastAsia"/>
                <w:color w:val="auto"/>
                <w:sz w:val="24"/>
                <w:highlight w:val="none"/>
                <w:lang w:val="en-US" w:eastAsia="zh-CN"/>
              </w:rPr>
              <w:t xml:space="preserve">   </w:t>
            </w:r>
            <w:r>
              <w:rPr>
                <w:color w:val="auto"/>
                <w:sz w:val="24"/>
                <w:highlight w:val="none"/>
              </w:rPr>
              <w:t>基本支出</w:t>
            </w:r>
          </w:p>
        </w:tc>
        <w:tc>
          <w:tcPr>
            <w:tcW w:w="1545" w:type="dxa"/>
            <w:vAlign w:val="center"/>
          </w:tcPr>
          <w:p>
            <w:pPr>
              <w:pStyle w:val="8"/>
              <w:spacing w:before="181" w:beforeLines="0"/>
              <w:ind w:right="486"/>
              <w:jc w:val="center"/>
              <w:rPr>
                <w:color w:val="auto"/>
                <w:sz w:val="24"/>
                <w:highlight w:val="none"/>
              </w:rPr>
            </w:pPr>
            <w:r>
              <w:rPr>
                <w:color w:val="auto"/>
                <w:sz w:val="24"/>
                <w:highlight w:val="none"/>
              </w:rPr>
              <w:t>项目支出</w:t>
            </w:r>
          </w:p>
        </w:tc>
        <w:tc>
          <w:tcPr>
            <w:tcW w:w="1995" w:type="dxa"/>
            <w:vMerge w:val="continue"/>
            <w:vAlign w:val="top"/>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61" w:hRule="exact"/>
        </w:trPr>
        <w:tc>
          <w:tcPr>
            <w:tcW w:w="3331" w:type="dxa"/>
            <w:gridSpan w:val="2"/>
            <w:vAlign w:val="top"/>
          </w:tcPr>
          <w:p>
            <w:pPr>
              <w:pStyle w:val="8"/>
              <w:spacing w:before="34" w:beforeLines="0"/>
              <w:ind w:left="939" w:right="941"/>
              <w:jc w:val="center"/>
              <w:rPr>
                <w:color w:val="auto"/>
                <w:sz w:val="24"/>
                <w:highlight w:val="none"/>
              </w:rPr>
            </w:pPr>
            <w:r>
              <w:rPr>
                <w:color w:val="auto"/>
                <w:sz w:val="24"/>
                <w:highlight w:val="none"/>
              </w:rPr>
              <w:t>栏次</w:t>
            </w:r>
          </w:p>
        </w:tc>
        <w:tc>
          <w:tcPr>
            <w:tcW w:w="1995" w:type="dxa"/>
            <w:vAlign w:val="top"/>
          </w:tcPr>
          <w:p>
            <w:pPr>
              <w:pStyle w:val="8"/>
              <w:spacing w:before="43" w:beforeLines="0"/>
              <w:ind w:left="1"/>
              <w:jc w:val="center"/>
              <w:rPr>
                <w:color w:val="auto"/>
                <w:sz w:val="24"/>
                <w:highlight w:val="none"/>
              </w:rPr>
            </w:pPr>
            <w:r>
              <w:rPr>
                <w:color w:val="auto"/>
                <w:sz w:val="24"/>
                <w:highlight w:val="none"/>
              </w:rPr>
              <w:t>1</w:t>
            </w:r>
          </w:p>
        </w:tc>
        <w:tc>
          <w:tcPr>
            <w:tcW w:w="1994" w:type="dxa"/>
            <w:vAlign w:val="top"/>
          </w:tcPr>
          <w:p>
            <w:pPr>
              <w:pStyle w:val="8"/>
              <w:spacing w:before="43" w:beforeLines="0"/>
              <w:ind w:left="2"/>
              <w:jc w:val="center"/>
              <w:rPr>
                <w:color w:val="auto"/>
                <w:sz w:val="24"/>
                <w:highlight w:val="none"/>
              </w:rPr>
            </w:pPr>
            <w:r>
              <w:rPr>
                <w:color w:val="auto"/>
                <w:sz w:val="24"/>
                <w:highlight w:val="none"/>
              </w:rPr>
              <w:t>2</w:t>
            </w:r>
          </w:p>
        </w:tc>
        <w:tc>
          <w:tcPr>
            <w:tcW w:w="1995" w:type="dxa"/>
            <w:vAlign w:val="top"/>
          </w:tcPr>
          <w:p>
            <w:pPr>
              <w:pStyle w:val="8"/>
              <w:spacing w:before="43" w:beforeLines="0"/>
              <w:ind w:left="2"/>
              <w:jc w:val="center"/>
              <w:rPr>
                <w:color w:val="auto"/>
                <w:sz w:val="24"/>
                <w:highlight w:val="none"/>
              </w:rPr>
            </w:pPr>
            <w:r>
              <w:rPr>
                <w:color w:val="auto"/>
                <w:sz w:val="24"/>
                <w:highlight w:val="none"/>
              </w:rPr>
              <w:t>3</w:t>
            </w:r>
          </w:p>
        </w:tc>
        <w:tc>
          <w:tcPr>
            <w:tcW w:w="1860" w:type="dxa"/>
            <w:vAlign w:val="top"/>
          </w:tcPr>
          <w:p>
            <w:pPr>
              <w:pStyle w:val="8"/>
              <w:spacing w:before="43" w:beforeLines="0"/>
              <w:ind w:left="2"/>
              <w:jc w:val="center"/>
              <w:rPr>
                <w:color w:val="auto"/>
                <w:sz w:val="24"/>
                <w:highlight w:val="none"/>
              </w:rPr>
            </w:pPr>
            <w:r>
              <w:rPr>
                <w:color w:val="auto"/>
                <w:sz w:val="24"/>
                <w:highlight w:val="none"/>
              </w:rPr>
              <w:t>4</w:t>
            </w:r>
          </w:p>
        </w:tc>
        <w:tc>
          <w:tcPr>
            <w:tcW w:w="1545" w:type="dxa"/>
            <w:vAlign w:val="top"/>
          </w:tcPr>
          <w:p>
            <w:pPr>
              <w:pStyle w:val="8"/>
              <w:spacing w:before="43" w:beforeLines="0"/>
              <w:ind w:left="3"/>
              <w:jc w:val="center"/>
              <w:rPr>
                <w:color w:val="auto"/>
                <w:sz w:val="24"/>
                <w:highlight w:val="none"/>
              </w:rPr>
            </w:pPr>
            <w:r>
              <w:rPr>
                <w:color w:val="auto"/>
                <w:sz w:val="24"/>
                <w:highlight w:val="none"/>
              </w:rPr>
              <w:t>5</w:t>
            </w:r>
          </w:p>
        </w:tc>
        <w:tc>
          <w:tcPr>
            <w:tcW w:w="1995" w:type="dxa"/>
            <w:vAlign w:val="top"/>
          </w:tcPr>
          <w:p>
            <w:pPr>
              <w:pStyle w:val="8"/>
              <w:spacing w:before="43" w:beforeLines="0"/>
              <w:ind w:left="12"/>
              <w:jc w:val="center"/>
              <w:rPr>
                <w:color w:val="auto"/>
                <w:sz w:val="24"/>
                <w:highlight w:val="none"/>
              </w:rPr>
            </w:pPr>
            <w:r>
              <w:rPr>
                <w:color w:val="auto"/>
                <w:sz w:val="24"/>
                <w:highlight w:val="none"/>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trPr>
        <w:tc>
          <w:tcPr>
            <w:tcW w:w="3331" w:type="dxa"/>
            <w:gridSpan w:val="2"/>
            <w:vAlign w:val="top"/>
          </w:tcPr>
          <w:p>
            <w:pPr>
              <w:pStyle w:val="8"/>
              <w:spacing w:before="34" w:beforeLines="0"/>
              <w:ind w:left="939" w:right="941"/>
              <w:jc w:val="center"/>
              <w:rPr>
                <w:color w:val="auto"/>
                <w:sz w:val="24"/>
                <w:highlight w:val="none"/>
              </w:rPr>
            </w:pPr>
            <w:r>
              <w:rPr>
                <w:color w:val="auto"/>
                <w:sz w:val="24"/>
                <w:highlight w:val="none"/>
              </w:rPr>
              <w:t>合计</w:t>
            </w:r>
          </w:p>
        </w:tc>
        <w:tc>
          <w:tcPr>
            <w:tcW w:w="1995" w:type="dxa"/>
            <w:vAlign w:val="top"/>
          </w:tcPr>
          <w:p>
            <w:pPr>
              <w:rPr>
                <w:color w:val="auto"/>
                <w:highlight w:val="none"/>
              </w:rPr>
            </w:pPr>
          </w:p>
        </w:tc>
        <w:tc>
          <w:tcPr>
            <w:tcW w:w="1994" w:type="dxa"/>
            <w:vAlign w:val="top"/>
          </w:tcPr>
          <w:p>
            <w:pPr>
              <w:rPr>
                <w:color w:val="auto"/>
                <w:highlight w:val="none"/>
              </w:rPr>
            </w:pPr>
          </w:p>
        </w:tc>
        <w:tc>
          <w:tcPr>
            <w:tcW w:w="1995" w:type="dxa"/>
            <w:vAlign w:val="top"/>
          </w:tcPr>
          <w:p>
            <w:pPr>
              <w:rPr>
                <w:color w:val="auto"/>
                <w:highlight w:val="none"/>
              </w:rPr>
            </w:pPr>
          </w:p>
        </w:tc>
        <w:tc>
          <w:tcPr>
            <w:tcW w:w="1860" w:type="dxa"/>
            <w:vAlign w:val="top"/>
          </w:tcPr>
          <w:p>
            <w:pPr>
              <w:rPr>
                <w:color w:val="auto"/>
                <w:highlight w:val="none"/>
              </w:rPr>
            </w:pPr>
          </w:p>
        </w:tc>
        <w:tc>
          <w:tcPr>
            <w:tcW w:w="1545" w:type="dxa"/>
            <w:vAlign w:val="top"/>
          </w:tcPr>
          <w:p>
            <w:pPr>
              <w:rPr>
                <w:color w:val="auto"/>
                <w:highlight w:val="none"/>
              </w:rPr>
            </w:pPr>
          </w:p>
        </w:tc>
        <w:tc>
          <w:tcPr>
            <w:tcW w:w="1995" w:type="dxa"/>
            <w:vAlign w:val="top"/>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61" w:hRule="exact"/>
        </w:trPr>
        <w:tc>
          <w:tcPr>
            <w:tcW w:w="1471" w:type="dxa"/>
            <w:vAlign w:val="top"/>
          </w:tcPr>
          <w:p>
            <w:pPr>
              <w:rPr>
                <w:color w:val="auto"/>
                <w:highlight w:val="none"/>
              </w:rPr>
            </w:pPr>
          </w:p>
        </w:tc>
        <w:tc>
          <w:tcPr>
            <w:tcW w:w="1860" w:type="dxa"/>
            <w:vAlign w:val="top"/>
          </w:tcPr>
          <w:p>
            <w:pPr>
              <w:rPr>
                <w:color w:val="auto"/>
                <w:highlight w:val="none"/>
              </w:rPr>
            </w:pPr>
          </w:p>
        </w:tc>
        <w:tc>
          <w:tcPr>
            <w:tcW w:w="1995" w:type="dxa"/>
            <w:vAlign w:val="top"/>
          </w:tcPr>
          <w:p>
            <w:pPr>
              <w:rPr>
                <w:color w:val="auto"/>
                <w:highlight w:val="none"/>
              </w:rPr>
            </w:pPr>
          </w:p>
        </w:tc>
        <w:tc>
          <w:tcPr>
            <w:tcW w:w="1994" w:type="dxa"/>
            <w:vAlign w:val="top"/>
          </w:tcPr>
          <w:p>
            <w:pPr>
              <w:rPr>
                <w:color w:val="auto"/>
                <w:highlight w:val="none"/>
              </w:rPr>
            </w:pPr>
          </w:p>
        </w:tc>
        <w:tc>
          <w:tcPr>
            <w:tcW w:w="1995" w:type="dxa"/>
            <w:vAlign w:val="top"/>
          </w:tcPr>
          <w:p>
            <w:pPr>
              <w:rPr>
                <w:color w:val="auto"/>
                <w:highlight w:val="none"/>
              </w:rPr>
            </w:pPr>
          </w:p>
        </w:tc>
        <w:tc>
          <w:tcPr>
            <w:tcW w:w="1860" w:type="dxa"/>
            <w:vAlign w:val="top"/>
          </w:tcPr>
          <w:p>
            <w:pPr>
              <w:rPr>
                <w:color w:val="auto"/>
                <w:highlight w:val="none"/>
              </w:rPr>
            </w:pPr>
          </w:p>
        </w:tc>
        <w:tc>
          <w:tcPr>
            <w:tcW w:w="1545" w:type="dxa"/>
            <w:vAlign w:val="top"/>
          </w:tcPr>
          <w:p>
            <w:pPr>
              <w:rPr>
                <w:color w:val="auto"/>
                <w:highlight w:val="none"/>
              </w:rPr>
            </w:pPr>
          </w:p>
        </w:tc>
        <w:tc>
          <w:tcPr>
            <w:tcW w:w="1995" w:type="dxa"/>
            <w:vAlign w:val="top"/>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61" w:hRule="exact"/>
        </w:trPr>
        <w:tc>
          <w:tcPr>
            <w:tcW w:w="1471" w:type="dxa"/>
            <w:vAlign w:val="top"/>
          </w:tcPr>
          <w:p>
            <w:pPr>
              <w:rPr>
                <w:color w:val="auto"/>
                <w:highlight w:val="none"/>
              </w:rPr>
            </w:pPr>
          </w:p>
        </w:tc>
        <w:tc>
          <w:tcPr>
            <w:tcW w:w="1860" w:type="dxa"/>
            <w:vAlign w:val="top"/>
          </w:tcPr>
          <w:p>
            <w:pPr>
              <w:rPr>
                <w:color w:val="auto"/>
                <w:highlight w:val="none"/>
              </w:rPr>
            </w:pPr>
          </w:p>
        </w:tc>
        <w:tc>
          <w:tcPr>
            <w:tcW w:w="1995" w:type="dxa"/>
            <w:vAlign w:val="top"/>
          </w:tcPr>
          <w:p>
            <w:pPr>
              <w:rPr>
                <w:color w:val="auto"/>
                <w:highlight w:val="none"/>
              </w:rPr>
            </w:pPr>
          </w:p>
        </w:tc>
        <w:tc>
          <w:tcPr>
            <w:tcW w:w="1994" w:type="dxa"/>
            <w:vAlign w:val="top"/>
          </w:tcPr>
          <w:p>
            <w:pPr>
              <w:rPr>
                <w:color w:val="auto"/>
                <w:highlight w:val="none"/>
              </w:rPr>
            </w:pPr>
          </w:p>
        </w:tc>
        <w:tc>
          <w:tcPr>
            <w:tcW w:w="1995" w:type="dxa"/>
            <w:vAlign w:val="top"/>
          </w:tcPr>
          <w:p>
            <w:pPr>
              <w:rPr>
                <w:color w:val="auto"/>
                <w:highlight w:val="none"/>
              </w:rPr>
            </w:pPr>
          </w:p>
        </w:tc>
        <w:tc>
          <w:tcPr>
            <w:tcW w:w="1860" w:type="dxa"/>
            <w:vAlign w:val="top"/>
          </w:tcPr>
          <w:p>
            <w:pPr>
              <w:rPr>
                <w:color w:val="auto"/>
                <w:highlight w:val="none"/>
              </w:rPr>
            </w:pPr>
          </w:p>
        </w:tc>
        <w:tc>
          <w:tcPr>
            <w:tcW w:w="1545" w:type="dxa"/>
            <w:vAlign w:val="top"/>
          </w:tcPr>
          <w:p>
            <w:pPr>
              <w:rPr>
                <w:color w:val="auto"/>
                <w:highlight w:val="none"/>
              </w:rPr>
            </w:pPr>
          </w:p>
        </w:tc>
        <w:tc>
          <w:tcPr>
            <w:tcW w:w="1995" w:type="dxa"/>
            <w:vAlign w:val="top"/>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trPr>
        <w:tc>
          <w:tcPr>
            <w:tcW w:w="1471" w:type="dxa"/>
            <w:vAlign w:val="top"/>
          </w:tcPr>
          <w:p>
            <w:pPr>
              <w:rPr>
                <w:color w:val="auto"/>
                <w:highlight w:val="none"/>
              </w:rPr>
            </w:pPr>
          </w:p>
        </w:tc>
        <w:tc>
          <w:tcPr>
            <w:tcW w:w="1860" w:type="dxa"/>
            <w:vAlign w:val="top"/>
          </w:tcPr>
          <w:p>
            <w:pPr>
              <w:rPr>
                <w:color w:val="auto"/>
                <w:highlight w:val="none"/>
              </w:rPr>
            </w:pPr>
          </w:p>
        </w:tc>
        <w:tc>
          <w:tcPr>
            <w:tcW w:w="1995" w:type="dxa"/>
            <w:vAlign w:val="top"/>
          </w:tcPr>
          <w:p>
            <w:pPr>
              <w:rPr>
                <w:color w:val="auto"/>
                <w:highlight w:val="none"/>
              </w:rPr>
            </w:pPr>
          </w:p>
        </w:tc>
        <w:tc>
          <w:tcPr>
            <w:tcW w:w="1994" w:type="dxa"/>
            <w:vAlign w:val="top"/>
          </w:tcPr>
          <w:p>
            <w:pPr>
              <w:rPr>
                <w:color w:val="auto"/>
                <w:highlight w:val="none"/>
              </w:rPr>
            </w:pPr>
          </w:p>
        </w:tc>
        <w:tc>
          <w:tcPr>
            <w:tcW w:w="1995" w:type="dxa"/>
            <w:vAlign w:val="top"/>
          </w:tcPr>
          <w:p>
            <w:pPr>
              <w:rPr>
                <w:color w:val="auto"/>
                <w:highlight w:val="none"/>
              </w:rPr>
            </w:pPr>
          </w:p>
        </w:tc>
        <w:tc>
          <w:tcPr>
            <w:tcW w:w="1860" w:type="dxa"/>
            <w:vAlign w:val="top"/>
          </w:tcPr>
          <w:p>
            <w:pPr>
              <w:rPr>
                <w:color w:val="auto"/>
                <w:highlight w:val="none"/>
              </w:rPr>
            </w:pPr>
          </w:p>
        </w:tc>
        <w:tc>
          <w:tcPr>
            <w:tcW w:w="1545" w:type="dxa"/>
            <w:vAlign w:val="top"/>
          </w:tcPr>
          <w:p>
            <w:pPr>
              <w:rPr>
                <w:color w:val="auto"/>
                <w:highlight w:val="none"/>
              </w:rPr>
            </w:pPr>
          </w:p>
        </w:tc>
        <w:tc>
          <w:tcPr>
            <w:tcW w:w="1995" w:type="dxa"/>
            <w:vAlign w:val="top"/>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61" w:hRule="exact"/>
        </w:trPr>
        <w:tc>
          <w:tcPr>
            <w:tcW w:w="1471" w:type="dxa"/>
            <w:vAlign w:val="top"/>
          </w:tcPr>
          <w:p>
            <w:pPr>
              <w:rPr>
                <w:color w:val="auto"/>
                <w:highlight w:val="none"/>
              </w:rPr>
            </w:pPr>
          </w:p>
        </w:tc>
        <w:tc>
          <w:tcPr>
            <w:tcW w:w="1860" w:type="dxa"/>
            <w:vAlign w:val="top"/>
          </w:tcPr>
          <w:p>
            <w:pPr>
              <w:rPr>
                <w:color w:val="auto"/>
                <w:highlight w:val="none"/>
              </w:rPr>
            </w:pPr>
          </w:p>
        </w:tc>
        <w:tc>
          <w:tcPr>
            <w:tcW w:w="1995" w:type="dxa"/>
            <w:vAlign w:val="top"/>
          </w:tcPr>
          <w:p>
            <w:pPr>
              <w:rPr>
                <w:color w:val="auto"/>
                <w:highlight w:val="none"/>
              </w:rPr>
            </w:pPr>
          </w:p>
        </w:tc>
        <w:tc>
          <w:tcPr>
            <w:tcW w:w="1994" w:type="dxa"/>
            <w:vAlign w:val="top"/>
          </w:tcPr>
          <w:p>
            <w:pPr>
              <w:rPr>
                <w:color w:val="auto"/>
                <w:highlight w:val="none"/>
              </w:rPr>
            </w:pPr>
          </w:p>
        </w:tc>
        <w:tc>
          <w:tcPr>
            <w:tcW w:w="1995" w:type="dxa"/>
            <w:vAlign w:val="top"/>
          </w:tcPr>
          <w:p>
            <w:pPr>
              <w:rPr>
                <w:color w:val="auto"/>
                <w:highlight w:val="none"/>
              </w:rPr>
            </w:pPr>
          </w:p>
        </w:tc>
        <w:tc>
          <w:tcPr>
            <w:tcW w:w="1860" w:type="dxa"/>
            <w:vAlign w:val="top"/>
          </w:tcPr>
          <w:p>
            <w:pPr>
              <w:rPr>
                <w:color w:val="auto"/>
                <w:highlight w:val="none"/>
              </w:rPr>
            </w:pPr>
          </w:p>
        </w:tc>
        <w:tc>
          <w:tcPr>
            <w:tcW w:w="1545" w:type="dxa"/>
            <w:vAlign w:val="top"/>
          </w:tcPr>
          <w:p>
            <w:pPr>
              <w:rPr>
                <w:color w:val="auto"/>
                <w:highlight w:val="none"/>
              </w:rPr>
            </w:pPr>
          </w:p>
        </w:tc>
        <w:tc>
          <w:tcPr>
            <w:tcW w:w="1995" w:type="dxa"/>
            <w:vAlign w:val="top"/>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1" w:hRule="exact"/>
        </w:trPr>
        <w:tc>
          <w:tcPr>
            <w:tcW w:w="1471" w:type="dxa"/>
            <w:tcBorders>
              <w:bottom w:val="single" w:color="000000" w:sz="12" w:space="0"/>
            </w:tcBorders>
            <w:vAlign w:val="top"/>
          </w:tcPr>
          <w:p>
            <w:pPr>
              <w:rPr>
                <w:color w:val="auto"/>
                <w:highlight w:val="none"/>
              </w:rPr>
            </w:pPr>
          </w:p>
        </w:tc>
        <w:tc>
          <w:tcPr>
            <w:tcW w:w="1860" w:type="dxa"/>
            <w:tcBorders>
              <w:bottom w:val="single" w:color="000000" w:sz="12" w:space="0"/>
            </w:tcBorders>
            <w:vAlign w:val="top"/>
          </w:tcPr>
          <w:p>
            <w:pPr>
              <w:rPr>
                <w:color w:val="auto"/>
                <w:highlight w:val="none"/>
              </w:rPr>
            </w:pPr>
          </w:p>
        </w:tc>
        <w:tc>
          <w:tcPr>
            <w:tcW w:w="1995" w:type="dxa"/>
            <w:tcBorders>
              <w:bottom w:val="single" w:color="000000" w:sz="12" w:space="0"/>
            </w:tcBorders>
            <w:vAlign w:val="top"/>
          </w:tcPr>
          <w:p>
            <w:pPr>
              <w:rPr>
                <w:color w:val="auto"/>
                <w:highlight w:val="none"/>
              </w:rPr>
            </w:pPr>
          </w:p>
        </w:tc>
        <w:tc>
          <w:tcPr>
            <w:tcW w:w="1994" w:type="dxa"/>
            <w:tcBorders>
              <w:bottom w:val="single" w:color="000000" w:sz="12" w:space="0"/>
            </w:tcBorders>
            <w:vAlign w:val="top"/>
          </w:tcPr>
          <w:p>
            <w:pPr>
              <w:rPr>
                <w:color w:val="auto"/>
                <w:highlight w:val="none"/>
              </w:rPr>
            </w:pPr>
          </w:p>
        </w:tc>
        <w:tc>
          <w:tcPr>
            <w:tcW w:w="1995" w:type="dxa"/>
            <w:tcBorders>
              <w:bottom w:val="single" w:color="000000" w:sz="12" w:space="0"/>
            </w:tcBorders>
            <w:vAlign w:val="top"/>
          </w:tcPr>
          <w:p>
            <w:pPr>
              <w:rPr>
                <w:rFonts w:hint="eastAsia" w:eastAsia="宋体"/>
                <w:color w:val="auto"/>
                <w:highlight w:val="none"/>
                <w:lang w:eastAsia="zh-CN"/>
              </w:rPr>
            </w:pPr>
          </w:p>
        </w:tc>
        <w:tc>
          <w:tcPr>
            <w:tcW w:w="1860" w:type="dxa"/>
            <w:tcBorders>
              <w:bottom w:val="single" w:color="000000" w:sz="12" w:space="0"/>
            </w:tcBorders>
            <w:vAlign w:val="top"/>
          </w:tcPr>
          <w:p>
            <w:pPr>
              <w:rPr>
                <w:color w:val="auto"/>
                <w:highlight w:val="none"/>
              </w:rPr>
            </w:pPr>
          </w:p>
        </w:tc>
        <w:tc>
          <w:tcPr>
            <w:tcW w:w="1545" w:type="dxa"/>
            <w:tcBorders>
              <w:bottom w:val="single" w:color="000000" w:sz="12" w:space="0"/>
            </w:tcBorders>
            <w:vAlign w:val="top"/>
          </w:tcPr>
          <w:p>
            <w:pPr>
              <w:rPr>
                <w:color w:val="auto"/>
                <w:highlight w:val="none"/>
              </w:rPr>
            </w:pPr>
          </w:p>
        </w:tc>
        <w:tc>
          <w:tcPr>
            <w:tcW w:w="1995" w:type="dxa"/>
            <w:tcBorders>
              <w:bottom w:val="single" w:color="000000" w:sz="12" w:space="0"/>
            </w:tcBorders>
            <w:vAlign w:val="top"/>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1471" w:type="dxa"/>
            <w:tcBorders>
              <w:top w:val="single" w:color="000000" w:sz="12" w:space="0"/>
              <w:bottom w:val="single" w:color="000000" w:sz="6" w:space="0"/>
            </w:tcBorders>
            <w:vAlign w:val="top"/>
          </w:tcPr>
          <w:p>
            <w:pPr>
              <w:rPr>
                <w:rFonts w:hint="eastAsia" w:eastAsia="宋体"/>
                <w:color w:val="auto"/>
                <w:highlight w:val="none"/>
                <w:lang w:eastAsia="zh-CN"/>
              </w:rPr>
            </w:pPr>
          </w:p>
          <w:p>
            <w:pPr>
              <w:rPr>
                <w:rFonts w:hint="eastAsia" w:eastAsia="宋体"/>
                <w:color w:val="auto"/>
                <w:highlight w:val="none"/>
                <w:lang w:eastAsia="zh-CN"/>
              </w:rPr>
            </w:pPr>
          </w:p>
        </w:tc>
        <w:tc>
          <w:tcPr>
            <w:tcW w:w="1860" w:type="dxa"/>
            <w:tcBorders>
              <w:top w:val="single" w:color="000000" w:sz="12" w:space="0"/>
              <w:bottom w:val="single" w:color="000000" w:sz="6" w:space="0"/>
            </w:tcBorders>
            <w:vAlign w:val="top"/>
          </w:tcPr>
          <w:p>
            <w:pPr>
              <w:rPr>
                <w:color w:val="auto"/>
                <w:highlight w:val="none"/>
              </w:rPr>
            </w:pPr>
          </w:p>
        </w:tc>
        <w:tc>
          <w:tcPr>
            <w:tcW w:w="1995" w:type="dxa"/>
            <w:tcBorders>
              <w:top w:val="single" w:color="000000" w:sz="12" w:space="0"/>
              <w:bottom w:val="single" w:color="000000" w:sz="6" w:space="0"/>
            </w:tcBorders>
            <w:vAlign w:val="top"/>
          </w:tcPr>
          <w:p>
            <w:pPr>
              <w:rPr>
                <w:color w:val="auto"/>
                <w:highlight w:val="none"/>
              </w:rPr>
            </w:pPr>
          </w:p>
        </w:tc>
        <w:tc>
          <w:tcPr>
            <w:tcW w:w="1994" w:type="dxa"/>
            <w:tcBorders>
              <w:top w:val="single" w:color="000000" w:sz="12" w:space="0"/>
              <w:bottom w:val="single" w:color="000000" w:sz="6" w:space="0"/>
            </w:tcBorders>
            <w:vAlign w:val="top"/>
          </w:tcPr>
          <w:p>
            <w:pPr>
              <w:rPr>
                <w:color w:val="auto"/>
                <w:highlight w:val="none"/>
              </w:rPr>
            </w:pPr>
          </w:p>
        </w:tc>
        <w:tc>
          <w:tcPr>
            <w:tcW w:w="1995" w:type="dxa"/>
            <w:tcBorders>
              <w:top w:val="single" w:color="000000" w:sz="12" w:space="0"/>
              <w:bottom w:val="single" w:color="000000" w:sz="6" w:space="0"/>
            </w:tcBorders>
            <w:vAlign w:val="top"/>
          </w:tcPr>
          <w:p>
            <w:pPr>
              <w:rPr>
                <w:rFonts w:hint="eastAsia" w:eastAsia="宋体"/>
                <w:color w:val="auto"/>
                <w:highlight w:val="none"/>
                <w:lang w:eastAsia="zh-CN"/>
              </w:rPr>
            </w:pPr>
          </w:p>
        </w:tc>
        <w:tc>
          <w:tcPr>
            <w:tcW w:w="1860" w:type="dxa"/>
            <w:tcBorders>
              <w:top w:val="single" w:color="000000" w:sz="12" w:space="0"/>
              <w:bottom w:val="single" w:color="000000" w:sz="6" w:space="0"/>
            </w:tcBorders>
            <w:vAlign w:val="top"/>
          </w:tcPr>
          <w:p>
            <w:pPr>
              <w:rPr>
                <w:color w:val="auto"/>
                <w:highlight w:val="none"/>
              </w:rPr>
            </w:pPr>
          </w:p>
        </w:tc>
        <w:tc>
          <w:tcPr>
            <w:tcW w:w="1545" w:type="dxa"/>
            <w:tcBorders>
              <w:top w:val="single" w:color="000000" w:sz="12" w:space="0"/>
              <w:bottom w:val="single" w:color="000000" w:sz="6" w:space="0"/>
            </w:tcBorders>
            <w:vAlign w:val="top"/>
          </w:tcPr>
          <w:p>
            <w:pPr>
              <w:rPr>
                <w:color w:val="auto"/>
                <w:highlight w:val="none"/>
              </w:rPr>
            </w:pPr>
          </w:p>
        </w:tc>
        <w:tc>
          <w:tcPr>
            <w:tcW w:w="1995" w:type="dxa"/>
            <w:tcBorders>
              <w:top w:val="single" w:color="000000" w:sz="12" w:space="0"/>
              <w:bottom w:val="single" w:color="000000" w:sz="6" w:space="0"/>
            </w:tcBorders>
            <w:vAlign w:val="top"/>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471" w:type="dxa"/>
            <w:tcBorders>
              <w:top w:val="single" w:color="000000" w:sz="6" w:space="0"/>
              <w:bottom w:val="single" w:color="000000" w:sz="12" w:space="0"/>
            </w:tcBorders>
            <w:vAlign w:val="top"/>
          </w:tcPr>
          <w:p>
            <w:pPr>
              <w:rPr>
                <w:rFonts w:hint="eastAsia" w:eastAsia="宋体"/>
                <w:color w:val="auto"/>
                <w:highlight w:val="none"/>
                <w:lang w:eastAsia="zh-CN"/>
              </w:rPr>
            </w:pPr>
          </w:p>
        </w:tc>
        <w:tc>
          <w:tcPr>
            <w:tcW w:w="1860" w:type="dxa"/>
            <w:tcBorders>
              <w:top w:val="single" w:color="000000" w:sz="6" w:space="0"/>
              <w:bottom w:val="single" w:color="000000" w:sz="12" w:space="0"/>
            </w:tcBorders>
            <w:vAlign w:val="top"/>
          </w:tcPr>
          <w:p>
            <w:pPr>
              <w:rPr>
                <w:rFonts w:hint="eastAsia" w:eastAsia="宋体"/>
                <w:color w:val="auto"/>
                <w:highlight w:val="none"/>
                <w:lang w:eastAsia="zh-CN"/>
              </w:rPr>
            </w:pPr>
          </w:p>
        </w:tc>
        <w:tc>
          <w:tcPr>
            <w:tcW w:w="1995" w:type="dxa"/>
            <w:tcBorders>
              <w:top w:val="single" w:color="000000" w:sz="6" w:space="0"/>
              <w:bottom w:val="single" w:color="000000" w:sz="12" w:space="0"/>
            </w:tcBorders>
            <w:vAlign w:val="top"/>
          </w:tcPr>
          <w:p>
            <w:pPr>
              <w:rPr>
                <w:rFonts w:hint="eastAsia" w:eastAsia="宋体"/>
                <w:color w:val="auto"/>
                <w:highlight w:val="none"/>
                <w:lang w:eastAsia="zh-CN"/>
              </w:rPr>
            </w:pPr>
          </w:p>
        </w:tc>
        <w:tc>
          <w:tcPr>
            <w:tcW w:w="1994" w:type="dxa"/>
            <w:tcBorders>
              <w:top w:val="single" w:color="000000" w:sz="6" w:space="0"/>
              <w:bottom w:val="single" w:color="000000" w:sz="12" w:space="0"/>
            </w:tcBorders>
            <w:vAlign w:val="top"/>
          </w:tcPr>
          <w:p>
            <w:pPr>
              <w:rPr>
                <w:rFonts w:hint="eastAsia" w:eastAsia="宋体"/>
                <w:color w:val="auto"/>
                <w:highlight w:val="none"/>
                <w:lang w:eastAsia="zh-CN"/>
              </w:rPr>
            </w:pPr>
          </w:p>
        </w:tc>
        <w:tc>
          <w:tcPr>
            <w:tcW w:w="1995" w:type="dxa"/>
            <w:tcBorders>
              <w:top w:val="single" w:color="000000" w:sz="6" w:space="0"/>
              <w:bottom w:val="single" w:color="000000" w:sz="12" w:space="0"/>
            </w:tcBorders>
            <w:vAlign w:val="top"/>
          </w:tcPr>
          <w:p>
            <w:pPr>
              <w:rPr>
                <w:rFonts w:hint="eastAsia" w:eastAsia="宋体"/>
                <w:color w:val="auto"/>
                <w:highlight w:val="none"/>
                <w:lang w:eastAsia="zh-CN"/>
              </w:rPr>
            </w:pPr>
          </w:p>
        </w:tc>
        <w:tc>
          <w:tcPr>
            <w:tcW w:w="1860" w:type="dxa"/>
            <w:tcBorders>
              <w:top w:val="single" w:color="000000" w:sz="6" w:space="0"/>
              <w:bottom w:val="single" w:color="000000" w:sz="12" w:space="0"/>
            </w:tcBorders>
            <w:vAlign w:val="top"/>
          </w:tcPr>
          <w:p>
            <w:pPr>
              <w:rPr>
                <w:color w:val="auto"/>
                <w:highlight w:val="none"/>
              </w:rPr>
            </w:pPr>
          </w:p>
        </w:tc>
        <w:tc>
          <w:tcPr>
            <w:tcW w:w="1545" w:type="dxa"/>
            <w:tcBorders>
              <w:top w:val="single" w:color="000000" w:sz="6" w:space="0"/>
              <w:bottom w:val="single" w:color="000000" w:sz="12" w:space="0"/>
            </w:tcBorders>
            <w:vAlign w:val="top"/>
          </w:tcPr>
          <w:p>
            <w:pPr>
              <w:rPr>
                <w:color w:val="auto"/>
                <w:highlight w:val="none"/>
              </w:rPr>
            </w:pPr>
          </w:p>
        </w:tc>
        <w:tc>
          <w:tcPr>
            <w:tcW w:w="1995" w:type="dxa"/>
            <w:tcBorders>
              <w:top w:val="single" w:color="000000" w:sz="6" w:space="0"/>
              <w:bottom w:val="single" w:color="000000" w:sz="12" w:space="0"/>
            </w:tcBorders>
            <w:vAlign w:val="top"/>
          </w:tcPr>
          <w:p>
            <w:pPr>
              <w:rPr>
                <w:rFonts w:hint="eastAsia" w:eastAsia="宋体"/>
                <w:color w:val="auto"/>
                <w:highlight w:val="none"/>
                <w:lang w:eastAsia="zh-CN"/>
              </w:rPr>
            </w:pPr>
          </w:p>
        </w:tc>
      </w:tr>
    </w:tbl>
    <w:p>
      <w:pPr>
        <w:spacing w:before="26" w:beforeLines="0"/>
        <w:rPr>
          <w:color w:val="auto"/>
          <w:sz w:val="24"/>
          <w:highlight w:val="none"/>
          <w:lang w:eastAsia="zh-CN"/>
        </w:rPr>
      </w:pPr>
      <w:r>
        <w:rPr>
          <w:color w:val="auto"/>
          <w:sz w:val="24"/>
          <w:highlight w:val="none"/>
          <w:lang w:eastAsia="zh-CN"/>
        </w:rPr>
        <w:t>注：</w:t>
      </w:r>
      <w:r>
        <w:rPr>
          <w:rFonts w:hint="eastAsia"/>
          <w:color w:val="auto"/>
          <w:sz w:val="24"/>
          <w:highlight w:val="none"/>
          <w:lang w:eastAsia="zh-CN"/>
        </w:rPr>
        <w:t>本表反映部门本年度政府性基金预算财政拨款收入支出及结转和结余情况。</w:t>
      </w:r>
    </w:p>
    <w:p>
      <w:pPr>
        <w:spacing w:before="69" w:beforeLines="0"/>
        <w:rPr>
          <w:color w:val="auto"/>
        </w:rPr>
        <w:sectPr>
          <w:pgSz w:w="16838" w:h="11906" w:orient="landscape"/>
          <w:pgMar w:top="1800" w:right="1440" w:bottom="1800" w:left="1440" w:header="851" w:footer="992" w:gutter="0"/>
          <w:pgNumType w:fmt="decimal"/>
          <w:cols w:space="720" w:num="1"/>
          <w:docGrid w:type="lines" w:linePitch="312" w:charSpace="0"/>
        </w:sectPr>
      </w:pPr>
    </w:p>
    <w:p>
      <w:pPr>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三、</w:t>
      </w:r>
      <w:r>
        <w:rPr>
          <w:rFonts w:hint="eastAsia" w:ascii="黑体" w:hAnsi="黑体" w:eastAsia="黑体" w:cs="宋体"/>
          <w:color w:val="auto"/>
          <w:sz w:val="32"/>
          <w:szCs w:val="32"/>
          <w:lang w:eastAsia="zh-CN"/>
        </w:rPr>
        <w:t>福田区文联</w:t>
      </w:r>
      <w:r>
        <w:rPr>
          <w:rFonts w:ascii="黑体" w:hAnsi="黑体" w:eastAsia="黑体" w:cs="宋体"/>
          <w:color w:val="auto"/>
          <w:sz w:val="32"/>
          <w:szCs w:val="32"/>
        </w:rPr>
        <w:t>2017</w:t>
      </w:r>
      <w:r>
        <w:rPr>
          <w:rFonts w:hint="eastAsia" w:ascii="黑体" w:hAnsi="黑体" w:eastAsia="黑体" w:cs="宋体"/>
          <w:color w:val="auto"/>
          <w:sz w:val="32"/>
          <w:szCs w:val="32"/>
        </w:rPr>
        <w:t>年度部门决算情况说明</w:t>
      </w:r>
    </w:p>
    <w:p>
      <w:pPr>
        <w:numPr>
          <w:ilvl w:val="0"/>
          <w:numId w:val="1"/>
        </w:numPr>
        <w:rPr>
          <w:rFonts w:hint="eastAsia" w:ascii="楷体_GB2312" w:hAnsi="宋体" w:eastAsia="楷体_GB2312" w:cs="宋体"/>
          <w:b/>
          <w:color w:val="auto"/>
          <w:sz w:val="32"/>
          <w:szCs w:val="32"/>
        </w:rPr>
      </w:pPr>
      <w:r>
        <w:rPr>
          <w:rFonts w:hint="eastAsia" w:ascii="楷体_GB2312" w:hAnsi="宋体" w:eastAsia="楷体_GB2312" w:cs="宋体"/>
          <w:b/>
          <w:color w:val="auto"/>
          <w:sz w:val="32"/>
          <w:szCs w:val="32"/>
        </w:rPr>
        <w:t>收入支出决算总体情况说明</w:t>
      </w:r>
    </w:p>
    <w:p>
      <w:pPr>
        <w:widowControl w:val="0"/>
        <w:autoSpaceDE w:val="0"/>
        <w:autoSpaceDN w:val="0"/>
        <w:spacing w:beforeLines="0" w:afterLines="0" w:line="360" w:lineRule="auto"/>
        <w:ind w:firstLine="570"/>
        <w:rPr>
          <w:rFonts w:hint="eastAsia" w:ascii="仿宋_GB2312" w:eastAsia="仿宋_GB2312"/>
          <w:color w:val="auto"/>
          <w:sz w:val="32"/>
          <w:szCs w:val="32"/>
          <w:lang w:val="en-US" w:eastAsia="zh-CN"/>
        </w:rPr>
      </w:pPr>
      <w:r>
        <w:rPr>
          <w:rFonts w:hint="eastAsia" w:ascii="仿宋_GB2312" w:eastAsia="仿宋_GB2312"/>
          <w:color w:val="auto"/>
          <w:sz w:val="32"/>
          <w:szCs w:val="32"/>
        </w:rPr>
        <w:t>2017年度年初结转和结余15.17万元，本年收入925.39万元，本年支出920.96万元，用事业基金弥补收支差额0万元，结余分配0万元，年末结转和结余19.61万元。</w:t>
      </w:r>
      <w:r>
        <w:rPr>
          <w:rFonts w:hint="eastAsia" w:ascii="仿宋_GB2312" w:eastAsia="仿宋_GB2312"/>
          <w:color w:val="auto"/>
          <w:sz w:val="32"/>
          <w:szCs w:val="32"/>
          <w:lang w:eastAsia="zh-CN"/>
        </w:rPr>
        <w:t>与</w:t>
      </w:r>
      <w:r>
        <w:rPr>
          <w:rFonts w:hint="eastAsia" w:ascii="仿宋_GB2312" w:eastAsia="仿宋_GB2312"/>
          <w:color w:val="auto"/>
          <w:sz w:val="32"/>
          <w:szCs w:val="32"/>
          <w:lang w:val="en-US" w:eastAsia="zh-CN"/>
        </w:rPr>
        <w:t>2016年相比收入增加271.15万元，增幅29%。主要原因是增资增额及专项业务及项目费用增加。（2016年预算654.24，全年收入669.32，支出654.15）</w:t>
      </w:r>
    </w:p>
    <w:p>
      <w:pPr>
        <w:numPr>
          <w:ilvl w:val="0"/>
          <w:numId w:val="1"/>
        </w:numPr>
        <w:rPr>
          <w:rFonts w:hint="eastAsia" w:ascii="楷体_GB2312" w:hAnsi="宋体" w:eastAsia="楷体_GB2312" w:cs="宋体"/>
          <w:b/>
          <w:color w:val="auto"/>
          <w:sz w:val="32"/>
          <w:szCs w:val="32"/>
        </w:rPr>
      </w:pPr>
      <w:r>
        <w:rPr>
          <w:rFonts w:hint="eastAsia" w:ascii="楷体_GB2312" w:hAnsi="宋体" w:eastAsia="楷体_GB2312" w:cs="宋体"/>
          <w:b/>
          <w:color w:val="auto"/>
          <w:sz w:val="32"/>
          <w:szCs w:val="32"/>
        </w:rPr>
        <w:t>收入决算情况说明</w:t>
      </w:r>
    </w:p>
    <w:p>
      <w:pPr>
        <w:numPr>
          <w:ilvl w:val="0"/>
          <w:numId w:val="0"/>
        </w:numPr>
        <w:ind w:left="0" w:leftChars="0" w:firstLine="640" w:firstLineChars="200"/>
        <w:rPr>
          <w:rFonts w:hint="eastAsia" w:ascii="仿宋_GB2312" w:hAnsi="宋体" w:eastAsia="仿宋_GB2312" w:cs="宋体"/>
          <w:color w:val="auto"/>
          <w:sz w:val="32"/>
          <w:szCs w:val="32"/>
          <w:highlight w:val="none"/>
          <w:lang w:eastAsia="zh-CN"/>
        </w:rPr>
      </w:pPr>
      <w:r>
        <w:rPr>
          <w:rFonts w:hint="eastAsia" w:ascii="仿宋_GB2312" w:eastAsia="仿宋_GB2312" w:cs="宋体"/>
          <w:color w:val="auto"/>
          <w:sz w:val="32"/>
          <w:szCs w:val="32"/>
          <w:highlight w:val="none"/>
          <w:lang w:val="en-US" w:eastAsia="zh-CN"/>
        </w:rPr>
        <w:t>2017年全年总收入</w:t>
      </w:r>
      <w:r>
        <w:rPr>
          <w:rFonts w:hint="eastAsia" w:ascii="仿宋_GB2312" w:hAnsi="仿宋_GB2312" w:eastAsia="仿宋_GB2312"/>
          <w:color w:val="auto"/>
          <w:sz w:val="32"/>
          <w:lang w:val="en-US" w:eastAsia="zh-CN"/>
        </w:rPr>
        <w:t>925.39</w:t>
      </w:r>
      <w:r>
        <w:rPr>
          <w:rFonts w:hint="eastAsia" w:ascii="仿宋_GB2312" w:eastAsia="仿宋_GB2312" w:cs="宋体"/>
          <w:color w:val="auto"/>
          <w:sz w:val="32"/>
          <w:szCs w:val="32"/>
          <w:highlight w:val="none"/>
          <w:lang w:val="en-US" w:eastAsia="zh-CN"/>
        </w:rPr>
        <w:t>元，其中财政拨925.39万元，占100%，其它收入0万元。与2016年相比，增加271.15万元，增加29%，</w:t>
      </w:r>
      <w:r>
        <w:rPr>
          <w:rFonts w:hint="eastAsia" w:ascii="仿宋_GB2312" w:eastAsia="仿宋_GB2312"/>
          <w:color w:val="auto"/>
          <w:sz w:val="32"/>
          <w:szCs w:val="32"/>
          <w:lang w:val="en-US" w:eastAsia="zh-CN"/>
        </w:rPr>
        <w:t>主要原因是增资增额及专项业务及项目费用增加。</w:t>
      </w:r>
    </w:p>
    <w:p>
      <w:pPr>
        <w:numPr>
          <w:ilvl w:val="0"/>
          <w:numId w:val="1"/>
        </w:numPr>
        <w:rPr>
          <w:rFonts w:hint="eastAsia" w:ascii="楷体_GB2312" w:hAnsi="宋体" w:eastAsia="楷体_GB2312" w:cs="宋体"/>
          <w:b/>
          <w:color w:val="auto"/>
          <w:sz w:val="32"/>
          <w:szCs w:val="32"/>
        </w:rPr>
      </w:pPr>
      <w:r>
        <w:rPr>
          <w:rFonts w:hint="eastAsia" w:ascii="楷体_GB2312" w:hAnsi="宋体" w:eastAsia="楷体_GB2312" w:cs="宋体"/>
          <w:b/>
          <w:color w:val="auto"/>
          <w:sz w:val="32"/>
          <w:szCs w:val="32"/>
        </w:rPr>
        <w:t>支出决算情况说明</w:t>
      </w:r>
    </w:p>
    <w:p>
      <w:pPr>
        <w:numPr>
          <w:ilvl w:val="0"/>
          <w:numId w:val="0"/>
        </w:numPr>
        <w:ind w:left="0" w:leftChars="0" w:firstLine="640" w:firstLineChars="200"/>
        <w:rPr>
          <w:rFonts w:hint="eastAsia" w:ascii="仿宋_GB2312" w:hAnsi="宋体" w:eastAsia="仿宋_GB2312" w:cs="宋体"/>
          <w:color w:val="auto"/>
          <w:sz w:val="32"/>
          <w:szCs w:val="32"/>
          <w:highlight w:val="none"/>
          <w:lang w:eastAsia="zh-CN"/>
        </w:rPr>
      </w:pPr>
      <w:r>
        <w:rPr>
          <w:rFonts w:hint="eastAsia" w:ascii="仿宋_GB2312" w:hAnsi="宋体" w:eastAsia="仿宋_GB2312"/>
          <w:color w:val="auto"/>
          <w:sz w:val="32"/>
          <w:szCs w:val="32"/>
          <w:lang w:val="en-US" w:eastAsia="zh-CN"/>
        </w:rPr>
        <w:t>201</w:t>
      </w:r>
      <w:r>
        <w:rPr>
          <w:rFonts w:hint="eastAsia" w:ascii="仿宋_GB2312" w:eastAsia="仿宋_GB2312"/>
          <w:color w:val="auto"/>
          <w:sz w:val="32"/>
          <w:szCs w:val="32"/>
          <w:lang w:val="en-US" w:eastAsia="zh-CN"/>
        </w:rPr>
        <w:t>7</w:t>
      </w:r>
      <w:r>
        <w:rPr>
          <w:rFonts w:hint="eastAsia" w:ascii="仿宋_GB2312" w:hAnsi="宋体" w:eastAsia="仿宋_GB2312"/>
          <w:color w:val="auto"/>
          <w:sz w:val="32"/>
          <w:szCs w:val="32"/>
          <w:lang w:val="en-US" w:eastAsia="zh-CN"/>
        </w:rPr>
        <w:t>年度决算总支出</w:t>
      </w:r>
      <w:r>
        <w:rPr>
          <w:rFonts w:hint="eastAsia" w:ascii="仿宋_GB2312" w:eastAsia="仿宋_GB2312"/>
          <w:color w:val="auto"/>
          <w:sz w:val="32"/>
          <w:szCs w:val="32"/>
          <w:lang w:val="en-US" w:eastAsia="zh-CN"/>
        </w:rPr>
        <w:t>920.96</w:t>
      </w:r>
      <w:r>
        <w:rPr>
          <w:rFonts w:hint="eastAsia" w:ascii="仿宋_GB2312" w:eastAsia="仿宋_GB2312"/>
          <w:color w:val="auto"/>
          <w:sz w:val="32"/>
          <w:szCs w:val="32"/>
        </w:rPr>
        <w:t>万元</w:t>
      </w:r>
      <w:r>
        <w:rPr>
          <w:rFonts w:hint="eastAsia" w:ascii="仿宋_GB2312" w:hAnsi="宋体" w:eastAsia="仿宋_GB2312"/>
          <w:color w:val="auto"/>
          <w:sz w:val="32"/>
          <w:szCs w:val="32"/>
          <w:lang w:val="en-US" w:eastAsia="zh-CN"/>
        </w:rPr>
        <w:t>，其中：</w:t>
      </w:r>
      <w:r>
        <w:rPr>
          <w:rFonts w:hint="eastAsia" w:ascii="仿宋_GB2312" w:eastAsia="仿宋_GB2312"/>
          <w:color w:val="auto"/>
          <w:sz w:val="32"/>
          <w:szCs w:val="32"/>
          <w:lang w:val="en-US" w:eastAsia="zh-CN"/>
        </w:rPr>
        <w:t>基本支出400万元，占43%；项目支出520.95万元，占57%。与2016年相比，支出增加266.81万元，增加29%。主要原因是增资增额及专项业务及项目费用增加。</w:t>
      </w:r>
    </w:p>
    <w:p>
      <w:pPr>
        <w:numPr>
          <w:ilvl w:val="0"/>
          <w:numId w:val="1"/>
        </w:numPr>
        <w:rPr>
          <w:rFonts w:hint="eastAsia" w:ascii="楷体_GB2312" w:hAnsi="宋体" w:eastAsia="楷体_GB2312" w:cs="宋体"/>
          <w:b/>
          <w:color w:val="auto"/>
          <w:sz w:val="32"/>
          <w:szCs w:val="32"/>
        </w:rPr>
      </w:pPr>
      <w:r>
        <w:rPr>
          <w:rFonts w:hint="eastAsia" w:ascii="楷体_GB2312" w:hAnsi="宋体" w:eastAsia="楷体_GB2312" w:cs="宋体"/>
          <w:b/>
          <w:color w:val="auto"/>
          <w:sz w:val="32"/>
          <w:szCs w:val="32"/>
        </w:rPr>
        <w:t>财政拨款收入支出决算总体情况说明</w:t>
      </w:r>
    </w:p>
    <w:p>
      <w:pPr>
        <w:numPr>
          <w:ilvl w:val="0"/>
          <w:numId w:val="0"/>
        </w:numPr>
        <w:ind w:left="0" w:leftChars="0" w:firstLine="640" w:firstLineChars="200"/>
        <w:rPr>
          <w:rFonts w:hint="eastAsia" w:ascii="仿宋_GB2312" w:hAnsi="宋体" w:eastAsia="仿宋_GB2312" w:cs="宋体"/>
          <w:color w:val="auto"/>
          <w:sz w:val="32"/>
          <w:szCs w:val="32"/>
          <w:highlight w:val="none"/>
          <w:lang w:eastAsia="zh-CN"/>
        </w:rPr>
      </w:pPr>
      <w:r>
        <w:rPr>
          <w:rFonts w:hint="eastAsia" w:ascii="仿宋_GB2312" w:hAnsi="仿宋_GB2312" w:eastAsia="仿宋_GB2312"/>
          <w:color w:val="auto"/>
          <w:sz w:val="32"/>
        </w:rPr>
        <w:t>201</w:t>
      </w:r>
      <w:r>
        <w:rPr>
          <w:rFonts w:hint="eastAsia" w:ascii="仿宋_GB2312" w:hAnsi="仿宋_GB2312" w:eastAsia="仿宋_GB2312"/>
          <w:color w:val="auto"/>
          <w:sz w:val="32"/>
          <w:lang w:val="en-US" w:eastAsia="zh-CN"/>
        </w:rPr>
        <w:t>7</w:t>
      </w:r>
      <w:r>
        <w:rPr>
          <w:rFonts w:hint="eastAsia" w:ascii="仿宋_GB2312" w:hAnsi="仿宋_GB2312" w:eastAsia="仿宋_GB2312"/>
          <w:color w:val="auto"/>
          <w:sz w:val="32"/>
        </w:rPr>
        <w:t>年度年初结转和结余</w:t>
      </w:r>
      <w:r>
        <w:rPr>
          <w:rFonts w:hint="eastAsia" w:ascii="仿宋_GB2312" w:eastAsia="仿宋_GB2312"/>
          <w:color w:val="auto"/>
          <w:sz w:val="32"/>
          <w:szCs w:val="32"/>
        </w:rPr>
        <w:t>15.17</w:t>
      </w:r>
      <w:r>
        <w:rPr>
          <w:rFonts w:hint="eastAsia" w:ascii="仿宋_GB2312" w:hAnsi="仿宋_GB2312" w:eastAsia="仿宋_GB2312"/>
          <w:color w:val="auto"/>
          <w:sz w:val="32"/>
        </w:rPr>
        <w:t>万元，本年</w:t>
      </w:r>
      <w:r>
        <w:rPr>
          <w:rFonts w:hint="eastAsia" w:ascii="仿宋_GB2312" w:hAnsi="仿宋_GB2312" w:eastAsia="仿宋_GB2312"/>
          <w:color w:val="auto"/>
          <w:sz w:val="32"/>
          <w:lang w:eastAsia="zh-CN"/>
        </w:rPr>
        <w:t>财政拨款</w:t>
      </w:r>
      <w:r>
        <w:rPr>
          <w:rFonts w:hint="eastAsia" w:ascii="仿宋_GB2312" w:hAnsi="仿宋_GB2312" w:eastAsia="仿宋_GB2312"/>
          <w:color w:val="auto"/>
          <w:sz w:val="32"/>
        </w:rPr>
        <w:t>收入</w:t>
      </w:r>
      <w:r>
        <w:rPr>
          <w:rFonts w:hint="eastAsia" w:ascii="仿宋_GB2312" w:eastAsia="仿宋_GB2312" w:cs="宋体"/>
          <w:color w:val="auto"/>
          <w:sz w:val="32"/>
          <w:szCs w:val="32"/>
          <w:highlight w:val="none"/>
          <w:lang w:val="en-US" w:eastAsia="zh-CN"/>
        </w:rPr>
        <w:t>925.39</w:t>
      </w:r>
      <w:r>
        <w:rPr>
          <w:rFonts w:hint="eastAsia" w:ascii="仿宋_GB2312" w:hAnsi="仿宋_GB2312" w:eastAsia="仿宋_GB2312"/>
          <w:color w:val="auto"/>
          <w:sz w:val="32"/>
        </w:rPr>
        <w:t>万元，本年支出</w:t>
      </w:r>
      <w:r>
        <w:rPr>
          <w:rFonts w:hint="eastAsia" w:ascii="仿宋_GB2312" w:eastAsia="仿宋_GB2312"/>
          <w:color w:val="auto"/>
          <w:sz w:val="32"/>
          <w:szCs w:val="32"/>
          <w:lang w:val="en-US" w:eastAsia="zh-CN"/>
        </w:rPr>
        <w:t>920.96</w:t>
      </w:r>
      <w:r>
        <w:rPr>
          <w:rFonts w:hint="eastAsia" w:ascii="仿宋_GB2312" w:hAnsi="仿宋_GB2312" w:eastAsia="仿宋_GB2312"/>
          <w:color w:val="auto"/>
          <w:sz w:val="32"/>
        </w:rPr>
        <w:t>万元，用事业基金弥补收支差额0万元，结余分配0万元，年末结转和结余</w:t>
      </w:r>
      <w:r>
        <w:rPr>
          <w:rFonts w:hint="eastAsia" w:ascii="仿宋_GB2312" w:hAnsi="仿宋_GB2312" w:eastAsia="仿宋_GB2312"/>
          <w:color w:val="auto"/>
          <w:sz w:val="32"/>
          <w:lang w:val="en-US" w:eastAsia="zh-CN"/>
        </w:rPr>
        <w:t>19.61</w:t>
      </w:r>
      <w:r>
        <w:rPr>
          <w:rFonts w:hint="eastAsia" w:ascii="仿宋_GB2312" w:hAnsi="仿宋_GB2312" w:eastAsia="仿宋_GB2312"/>
          <w:color w:val="auto"/>
          <w:sz w:val="32"/>
        </w:rPr>
        <w:t>万元</w:t>
      </w:r>
      <w:r>
        <w:rPr>
          <w:rFonts w:hint="eastAsia" w:ascii="仿宋_GB2312" w:hAnsi="仿宋_GB2312" w:eastAsia="仿宋_GB2312"/>
          <w:color w:val="auto"/>
          <w:sz w:val="32"/>
          <w:lang w:eastAsia="zh-CN"/>
        </w:rPr>
        <w:t>。与</w:t>
      </w:r>
      <w:r>
        <w:rPr>
          <w:rFonts w:hint="eastAsia" w:ascii="仿宋_GB2312" w:hAnsi="仿宋_GB2312" w:eastAsia="仿宋_GB2312"/>
          <w:color w:val="auto"/>
          <w:sz w:val="32"/>
          <w:lang w:val="en-US" w:eastAsia="zh-CN"/>
        </w:rPr>
        <w:t>2016相比收入增加271.15万元，支出增加266.81万元，增幅均29%</w:t>
      </w:r>
      <w:r>
        <w:rPr>
          <w:rFonts w:hint="eastAsia" w:ascii="仿宋_GB2312" w:hAnsi="仿宋_GB2312" w:eastAsia="仿宋_GB2312"/>
          <w:color w:val="auto"/>
          <w:sz w:val="32"/>
        </w:rPr>
        <w:t>。</w:t>
      </w:r>
      <w:r>
        <w:rPr>
          <w:rFonts w:hint="eastAsia" w:ascii="仿宋_GB2312" w:eastAsia="仿宋_GB2312"/>
          <w:color w:val="auto"/>
          <w:sz w:val="32"/>
          <w:szCs w:val="32"/>
          <w:lang w:val="en-US" w:eastAsia="zh-CN"/>
        </w:rPr>
        <w:t>主要原因是增资增额及专项业务及项目费用增加。</w:t>
      </w:r>
    </w:p>
    <w:p>
      <w:pPr>
        <w:numPr>
          <w:ilvl w:val="0"/>
          <w:numId w:val="1"/>
        </w:numPr>
        <w:rPr>
          <w:rFonts w:hint="eastAsia" w:ascii="楷体_GB2312" w:hAnsi="宋体" w:eastAsia="楷体_GB2312" w:cs="宋体"/>
          <w:b/>
          <w:color w:val="auto"/>
          <w:sz w:val="32"/>
          <w:szCs w:val="32"/>
        </w:rPr>
      </w:pPr>
      <w:r>
        <w:rPr>
          <w:rFonts w:hint="eastAsia" w:ascii="楷体_GB2312" w:hAnsi="宋体" w:eastAsia="楷体_GB2312" w:cs="宋体"/>
          <w:b/>
          <w:color w:val="auto"/>
          <w:sz w:val="32"/>
          <w:szCs w:val="32"/>
        </w:rPr>
        <w:t>一般公共预算财政拨款支出决算情况说明</w:t>
      </w:r>
    </w:p>
    <w:p>
      <w:pPr>
        <w:numPr>
          <w:ilvl w:val="0"/>
          <w:numId w:val="0"/>
        </w:numPr>
        <w:ind w:left="0" w:leftChars="0" w:firstLine="640" w:firstLineChars="200"/>
        <w:rPr>
          <w:rFonts w:hint="eastAsia" w:ascii="仿宋_GB2312" w:hAnsi="宋体" w:eastAsia="仿宋_GB2312" w:cs="宋体"/>
          <w:color w:val="auto"/>
          <w:sz w:val="32"/>
          <w:szCs w:val="32"/>
          <w:highlight w:val="none"/>
          <w:lang w:eastAsia="zh-CN"/>
        </w:rPr>
      </w:pPr>
      <w:r>
        <w:rPr>
          <w:rFonts w:hint="eastAsia" w:ascii="仿宋_GB2312" w:eastAsia="仿宋_GB2312" w:cs="宋体"/>
          <w:color w:val="auto"/>
          <w:sz w:val="32"/>
          <w:szCs w:val="32"/>
          <w:highlight w:val="none"/>
          <w:lang w:val="en-US" w:eastAsia="zh-CN"/>
        </w:rPr>
        <w:t>2017年度一般公共预算财政拨款支出合计920.96万元，其中财政拨925.39万元，占100%，基本支出400万元，占43%；项目支出520.95万元，占57%。</w:t>
      </w:r>
    </w:p>
    <w:p>
      <w:pPr>
        <w:numPr>
          <w:ilvl w:val="0"/>
          <w:numId w:val="1"/>
        </w:numPr>
        <w:rPr>
          <w:rFonts w:hint="eastAsia" w:ascii="楷体_GB2312" w:hAnsi="宋体" w:eastAsia="楷体_GB2312" w:cs="宋体"/>
          <w:b/>
          <w:color w:val="auto"/>
          <w:sz w:val="32"/>
          <w:szCs w:val="32"/>
        </w:rPr>
      </w:pPr>
      <w:r>
        <w:rPr>
          <w:rFonts w:hint="eastAsia" w:ascii="楷体_GB2312" w:hAnsi="宋体" w:eastAsia="楷体_GB2312" w:cs="宋体"/>
          <w:b/>
          <w:color w:val="auto"/>
          <w:sz w:val="32"/>
          <w:szCs w:val="32"/>
        </w:rPr>
        <w:t>一般公共预算财政拨款基本支出决算情况说明</w:t>
      </w:r>
    </w:p>
    <w:p>
      <w:pPr>
        <w:numPr>
          <w:ilvl w:val="0"/>
          <w:numId w:val="0"/>
        </w:numPr>
        <w:ind w:left="0" w:leftChars="0" w:firstLine="640" w:firstLineChars="200"/>
        <w:rPr>
          <w:rFonts w:hint="eastAsia" w:ascii="仿宋_GB2312" w:eastAsia="仿宋_GB2312"/>
          <w:color w:val="auto"/>
          <w:sz w:val="32"/>
          <w:szCs w:val="32"/>
          <w:lang w:val="en-US" w:eastAsia="zh-CN"/>
        </w:rPr>
      </w:pPr>
      <w:r>
        <w:rPr>
          <w:rFonts w:hint="eastAsia" w:ascii="仿宋_GB2312" w:hAnsi="宋体" w:eastAsia="仿宋_GB2312"/>
          <w:color w:val="auto"/>
          <w:sz w:val="32"/>
          <w:szCs w:val="32"/>
          <w:lang w:val="en-US" w:eastAsia="zh-CN"/>
        </w:rPr>
        <w:t>201</w:t>
      </w:r>
      <w:r>
        <w:rPr>
          <w:rFonts w:hint="eastAsia" w:ascii="仿宋_GB2312" w:eastAsia="仿宋_GB2312"/>
          <w:color w:val="auto"/>
          <w:sz w:val="32"/>
          <w:szCs w:val="32"/>
          <w:lang w:val="en-US" w:eastAsia="zh-CN"/>
        </w:rPr>
        <w:t>7</w:t>
      </w:r>
      <w:r>
        <w:rPr>
          <w:rFonts w:hint="eastAsia" w:ascii="仿宋_GB2312" w:hAnsi="宋体" w:eastAsia="仿宋_GB2312"/>
          <w:color w:val="auto"/>
          <w:sz w:val="32"/>
          <w:szCs w:val="32"/>
          <w:lang w:val="en-US" w:eastAsia="zh-CN"/>
        </w:rPr>
        <w:t>年度一般公共预算财政拨款基本支出400万元，其中人员经费394.18万元，包括工资福利支出及补缴养老保险等；公用经费5.82万元，包括工会经费及商品和服务支出等</w:t>
      </w:r>
      <w:r>
        <w:rPr>
          <w:rFonts w:hint="eastAsia" w:ascii="仿宋_GB2312" w:eastAsia="仿宋_GB2312" w:cs="宋体"/>
          <w:color w:val="auto"/>
          <w:sz w:val="32"/>
          <w:szCs w:val="32"/>
          <w:highlight w:val="none"/>
          <w:lang w:val="en-US" w:eastAsia="zh-CN"/>
        </w:rPr>
        <w:t>。</w:t>
      </w:r>
    </w:p>
    <w:p>
      <w:pPr>
        <w:numPr>
          <w:ilvl w:val="0"/>
          <w:numId w:val="0"/>
        </w:numPr>
        <w:ind w:firstLine="643" w:firstLineChars="200"/>
        <w:rPr>
          <w:rFonts w:hint="eastAsia" w:ascii="仿宋_GB2312" w:hAnsi="宋体" w:eastAsia="仿宋_GB2312" w:cs="宋体"/>
          <w:b/>
          <w:color w:val="auto"/>
          <w:sz w:val="32"/>
          <w:szCs w:val="32"/>
        </w:rPr>
      </w:pPr>
      <w:r>
        <w:rPr>
          <w:rFonts w:hint="eastAsia" w:ascii="楷体_GB2312" w:hAnsi="宋体" w:eastAsia="楷体_GB2312" w:cs="宋体"/>
          <w:b/>
          <w:color w:val="auto"/>
          <w:sz w:val="32"/>
          <w:szCs w:val="32"/>
          <w:lang w:eastAsia="zh-CN"/>
        </w:rPr>
        <w:t>（七）</w:t>
      </w:r>
      <w:r>
        <w:rPr>
          <w:rFonts w:hint="eastAsia" w:ascii="楷体_GB2312" w:hAnsi="宋体" w:eastAsia="楷体_GB2312" w:cs="宋体"/>
          <w:b/>
          <w:color w:val="auto"/>
          <w:sz w:val="32"/>
          <w:szCs w:val="32"/>
        </w:rPr>
        <w:t>一般公共预算财政拨款“三公”经费支出决算情况说明</w:t>
      </w:r>
    </w:p>
    <w:p>
      <w:pPr>
        <w:numPr>
          <w:ilvl w:val="0"/>
          <w:numId w:val="0"/>
        </w:numPr>
        <w:ind w:left="0" w:leftChars="0" w:firstLine="640" w:firstLineChars="200"/>
        <w:rPr>
          <w:rFonts w:hint="eastAsia" w:ascii="仿宋_GB2312" w:hAnsi="宋体" w:eastAsia="仿宋_GB2312" w:cs="宋体"/>
          <w:b w:val="0"/>
          <w:bCs/>
          <w:color w:val="auto"/>
          <w:sz w:val="32"/>
          <w:szCs w:val="32"/>
          <w:lang w:val="en-US" w:eastAsia="zh-CN"/>
        </w:rPr>
      </w:pPr>
      <w:r>
        <w:rPr>
          <w:rFonts w:hint="eastAsia" w:ascii="仿宋_GB2312" w:hAnsi="宋体" w:eastAsia="仿宋_GB2312" w:cs="宋体"/>
          <w:b w:val="0"/>
          <w:bCs/>
          <w:color w:val="auto"/>
          <w:sz w:val="32"/>
          <w:szCs w:val="32"/>
          <w:lang w:val="en-US" w:eastAsia="zh-CN"/>
        </w:rPr>
        <w:t>2017年度一般公共预算财政拨款“三公”经费财政拨款支出3.88万元，其中因公出国（境）费0元，公务接待费0元，公务用车购置及运行费3.88万元。</w:t>
      </w:r>
    </w:p>
    <w:p>
      <w:pPr>
        <w:numPr>
          <w:ilvl w:val="0"/>
          <w:numId w:val="0"/>
        </w:numPr>
        <w:ind w:left="0" w:leftChars="0" w:firstLine="640" w:firstLineChars="200"/>
        <w:rPr>
          <w:rFonts w:hint="eastAsia" w:ascii="仿宋_GB2312" w:hAnsi="宋体" w:eastAsia="仿宋_GB2312" w:cs="宋体"/>
          <w:b w:val="0"/>
          <w:bCs/>
          <w:color w:val="auto"/>
          <w:sz w:val="32"/>
          <w:szCs w:val="32"/>
          <w:lang w:val="en-US" w:eastAsia="zh-CN"/>
        </w:rPr>
      </w:pPr>
      <w:r>
        <w:rPr>
          <w:rFonts w:hint="eastAsia" w:ascii="仿宋_GB2312" w:hAnsi="宋体" w:eastAsia="仿宋_GB2312" w:cs="宋体"/>
          <w:b w:val="0"/>
          <w:bCs/>
          <w:color w:val="auto"/>
          <w:sz w:val="32"/>
          <w:szCs w:val="32"/>
          <w:lang w:val="en-US" w:eastAsia="zh-CN"/>
        </w:rPr>
        <w:t>公务用车购置及运行费较2017年度预算数减少0.12万元，减少了1%。</w:t>
      </w:r>
      <w:r>
        <w:rPr>
          <w:rFonts w:hint="eastAsia" w:ascii="仿宋_GB2312" w:hAnsi="宋体" w:eastAsia="仿宋_GB2312" w:cs="Times New Roman"/>
          <w:color w:val="auto"/>
          <w:sz w:val="32"/>
          <w:szCs w:val="32"/>
        </w:rPr>
        <w:t>主要包括：（1）未更新购置，无购置支出；（2）公务车保有量</w:t>
      </w:r>
      <w:r>
        <w:rPr>
          <w:rFonts w:hint="eastAsia" w:ascii="仿宋_GB2312" w:eastAsia="仿宋_GB2312" w:cs="Times New Roman"/>
          <w:color w:val="auto"/>
          <w:sz w:val="32"/>
          <w:szCs w:val="32"/>
          <w:lang w:val="en-US" w:eastAsia="zh-CN"/>
        </w:rPr>
        <w:t>1</w:t>
      </w:r>
      <w:r>
        <w:rPr>
          <w:rFonts w:hint="eastAsia" w:ascii="仿宋_GB2312" w:hAnsi="宋体" w:eastAsia="仿宋_GB2312" w:cs="Times New Roman"/>
          <w:color w:val="auto"/>
          <w:sz w:val="32"/>
          <w:szCs w:val="32"/>
        </w:rPr>
        <w:t>辆，全年运行维护费支出</w:t>
      </w:r>
      <w:r>
        <w:rPr>
          <w:rFonts w:hint="eastAsia" w:ascii="仿宋_GB2312" w:eastAsia="仿宋_GB2312" w:cs="Times New Roman"/>
          <w:color w:val="auto"/>
          <w:sz w:val="32"/>
          <w:szCs w:val="32"/>
          <w:lang w:val="en-US" w:eastAsia="zh-CN"/>
        </w:rPr>
        <w:t>3.88</w:t>
      </w:r>
      <w:r>
        <w:rPr>
          <w:rFonts w:hint="eastAsia" w:ascii="仿宋_GB2312" w:hAnsi="宋体" w:eastAsia="仿宋_GB2312" w:cs="Times New Roman"/>
          <w:color w:val="auto"/>
          <w:sz w:val="32"/>
          <w:szCs w:val="32"/>
        </w:rPr>
        <w:t>万元</w:t>
      </w:r>
      <w:r>
        <w:rPr>
          <w:rFonts w:hint="eastAsia" w:ascii="仿宋_GB2312" w:eastAsia="仿宋_GB2312" w:cs="Times New Roman"/>
          <w:color w:val="auto"/>
          <w:sz w:val="32"/>
          <w:szCs w:val="32"/>
          <w:lang w:eastAsia="zh-CN"/>
        </w:rPr>
        <w:t>。区文联</w:t>
      </w:r>
      <w:r>
        <w:rPr>
          <w:rFonts w:hint="eastAsia" w:ascii="仿宋_GB2312" w:hAnsi="宋体" w:eastAsia="仿宋_GB2312" w:cs="Times New Roman"/>
          <w:color w:val="auto"/>
          <w:sz w:val="32"/>
          <w:szCs w:val="32"/>
        </w:rPr>
        <w:t>提倡节俭开支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贯彻落实厉行节约规定、中央八项规定精神等原因减少公务用车购置及运行维护费支出。</w:t>
      </w:r>
    </w:p>
    <w:p>
      <w:pPr>
        <w:numPr>
          <w:ilvl w:val="0"/>
          <w:numId w:val="0"/>
        </w:numPr>
        <w:ind w:left="0" w:leftChars="0" w:firstLine="640" w:firstLineChars="200"/>
        <w:rPr>
          <w:rFonts w:hint="eastAsia" w:ascii="仿宋_GB2312" w:hAnsi="宋体" w:eastAsia="仿宋_GB2312" w:cs="宋体"/>
          <w:b w:val="0"/>
          <w:bCs/>
          <w:color w:val="auto"/>
          <w:sz w:val="32"/>
          <w:szCs w:val="32"/>
          <w:lang w:val="en-US" w:eastAsia="zh-CN"/>
        </w:rPr>
      </w:pPr>
      <w:r>
        <w:rPr>
          <w:rFonts w:hint="eastAsia" w:ascii="仿宋_GB2312" w:hAnsi="宋体" w:eastAsia="仿宋_GB2312" w:cs="宋体"/>
          <w:b w:val="0"/>
          <w:bCs/>
          <w:color w:val="auto"/>
          <w:sz w:val="32"/>
          <w:szCs w:val="32"/>
          <w:lang w:val="en-US" w:eastAsia="zh-CN"/>
        </w:rPr>
        <w:t>2017年“三公”经费具体情况如下：</w:t>
      </w:r>
      <w:bookmarkStart w:id="4" w:name="_GoBack"/>
      <w:bookmarkEnd w:id="4"/>
    </w:p>
    <w:p>
      <w:pPr>
        <w:spacing w:line="540" w:lineRule="exact"/>
        <w:ind w:firstLine="660"/>
        <w:jc w:val="left"/>
        <w:rPr>
          <w:rFonts w:hint="eastAsia" w:ascii="仿宋" w:hAnsi="仿宋" w:eastAsia="仿宋"/>
          <w:color w:val="auto"/>
          <w:sz w:val="32"/>
          <w:szCs w:val="32"/>
        </w:rPr>
      </w:pPr>
      <w:r>
        <w:rPr>
          <w:rFonts w:hint="eastAsia" w:ascii="仿宋_GB2312" w:hAnsi="宋体" w:eastAsia="仿宋_GB2312" w:cs="宋体"/>
          <w:b w:val="0"/>
          <w:bCs/>
          <w:color w:val="auto"/>
          <w:sz w:val="32"/>
          <w:szCs w:val="32"/>
          <w:lang w:val="en-US" w:eastAsia="zh-CN"/>
        </w:rPr>
        <w:t>1、因公出国（境）费指单位工作人员公务出国（境）的住宿费、旅费、伙食补助费、杂费、培训费等支出。文联2017年</w:t>
      </w:r>
      <w:r>
        <w:rPr>
          <w:rFonts w:hint="eastAsia" w:ascii="仿宋" w:hAnsi="仿宋" w:eastAsia="仿宋"/>
          <w:color w:val="auto"/>
          <w:sz w:val="32"/>
          <w:szCs w:val="32"/>
        </w:rPr>
        <w:t>无因公出国（境）费用支出。</w:t>
      </w:r>
    </w:p>
    <w:p>
      <w:pPr>
        <w:numPr>
          <w:ilvl w:val="0"/>
          <w:numId w:val="0"/>
        </w:numPr>
        <w:ind w:firstLine="640" w:firstLineChars="200"/>
        <w:rPr>
          <w:rFonts w:hint="eastAsia" w:ascii="仿宋_GB2312" w:hAnsi="宋体" w:eastAsia="仿宋_GB2312" w:cs="宋体"/>
          <w:b w:val="0"/>
          <w:bCs/>
          <w:color w:val="auto"/>
          <w:sz w:val="32"/>
          <w:szCs w:val="32"/>
          <w:lang w:val="en-US" w:eastAsia="zh-CN"/>
        </w:rPr>
      </w:pP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公务用车购置及运行维护费支出</w:t>
      </w:r>
      <w:r>
        <w:rPr>
          <w:rFonts w:hint="eastAsia" w:ascii="仿宋_GB2312" w:hAnsi="宋体" w:eastAsia="仿宋_GB2312" w:cs="Times New Roman"/>
          <w:color w:val="auto"/>
          <w:sz w:val="32"/>
          <w:szCs w:val="32"/>
          <w:lang w:val="en-US" w:eastAsia="zh-CN"/>
        </w:rPr>
        <w:t>3.88</w:t>
      </w:r>
      <w:r>
        <w:rPr>
          <w:rFonts w:hint="eastAsia" w:ascii="仿宋_GB2312" w:eastAsia="仿宋_GB2312" w:cs="Times New Roman"/>
          <w:color w:val="auto"/>
          <w:sz w:val="32"/>
          <w:szCs w:val="32"/>
          <w:lang w:val="en-US" w:eastAsia="zh-CN"/>
        </w:rPr>
        <w:t>万</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占“三公”经费财政拨款决算总数的</w:t>
      </w:r>
      <w:r>
        <w:rPr>
          <w:rFonts w:hint="eastAsia" w:ascii="仿宋_GB2312" w:hAnsi="宋体" w:eastAsia="仿宋_GB2312" w:cs="Times New Roman"/>
          <w:color w:val="auto"/>
          <w:sz w:val="32"/>
          <w:szCs w:val="32"/>
          <w:lang w:val="en-US" w:eastAsia="zh-CN"/>
        </w:rPr>
        <w:t>100</w:t>
      </w:r>
      <w:r>
        <w:rPr>
          <w:rFonts w:hint="eastAsia" w:ascii="仿宋_GB2312" w:hAnsi="宋体" w:eastAsia="仿宋_GB2312" w:cs="Times New Roman"/>
          <w:color w:val="auto"/>
          <w:sz w:val="32"/>
          <w:szCs w:val="32"/>
        </w:rPr>
        <w:t>%，主要包括：（1）未更新购置，无购置支出；（2）公务车保有量</w:t>
      </w:r>
      <w:r>
        <w:rPr>
          <w:rFonts w:hint="eastAsia" w:ascii="仿宋_GB2312" w:eastAsia="仿宋_GB2312" w:cs="Times New Roman"/>
          <w:color w:val="auto"/>
          <w:sz w:val="32"/>
          <w:szCs w:val="32"/>
          <w:lang w:val="en-US" w:eastAsia="zh-CN"/>
        </w:rPr>
        <w:t>1</w:t>
      </w:r>
      <w:r>
        <w:rPr>
          <w:rFonts w:hint="eastAsia" w:ascii="仿宋_GB2312" w:hAnsi="宋体" w:eastAsia="仿宋_GB2312" w:cs="Times New Roman"/>
          <w:color w:val="auto"/>
          <w:sz w:val="32"/>
          <w:szCs w:val="32"/>
        </w:rPr>
        <w:t>辆，全年运行维护费支出</w:t>
      </w:r>
      <w:r>
        <w:rPr>
          <w:rFonts w:hint="eastAsia" w:ascii="仿宋_GB2312" w:eastAsia="仿宋_GB2312" w:cs="Times New Roman"/>
          <w:color w:val="auto"/>
          <w:sz w:val="32"/>
          <w:szCs w:val="32"/>
          <w:lang w:val="en-US" w:eastAsia="zh-CN"/>
        </w:rPr>
        <w:t>3.88</w:t>
      </w:r>
      <w:r>
        <w:rPr>
          <w:rFonts w:hint="eastAsia" w:ascii="仿宋_GB2312" w:hAnsi="宋体" w:eastAsia="仿宋_GB2312" w:cs="Times New Roman"/>
          <w:color w:val="auto"/>
          <w:sz w:val="32"/>
          <w:szCs w:val="32"/>
        </w:rPr>
        <w:t>万元</w:t>
      </w:r>
      <w:r>
        <w:rPr>
          <w:rFonts w:hint="eastAsia" w:ascii="仿宋_GB2312" w:eastAsia="仿宋_GB2312" w:cs="Times New Roman"/>
          <w:color w:val="auto"/>
          <w:sz w:val="32"/>
          <w:szCs w:val="32"/>
          <w:lang w:eastAsia="zh-CN"/>
        </w:rPr>
        <w:t>。区文联</w:t>
      </w:r>
      <w:r>
        <w:rPr>
          <w:rFonts w:hint="eastAsia" w:ascii="仿宋_GB2312" w:hAnsi="宋体" w:eastAsia="仿宋_GB2312" w:cs="Times New Roman"/>
          <w:color w:val="auto"/>
          <w:sz w:val="32"/>
          <w:szCs w:val="32"/>
        </w:rPr>
        <w:t>提倡节俭开支</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贯彻落实厉行节约规定、中央八项规定精神等原因减少公务用车购置及运行维护费支出。</w:t>
      </w:r>
    </w:p>
    <w:p>
      <w:pPr>
        <w:numPr>
          <w:ilvl w:val="0"/>
          <w:numId w:val="0"/>
        </w:numPr>
        <w:ind w:firstLine="640" w:firstLineChars="200"/>
        <w:rPr>
          <w:rFonts w:hint="eastAsia" w:ascii="仿宋_GB2312" w:hAnsi="宋体" w:eastAsia="仿宋_GB2312" w:cs="宋体"/>
          <w:b w:val="0"/>
          <w:bCs/>
          <w:color w:val="auto"/>
          <w:sz w:val="32"/>
          <w:szCs w:val="32"/>
          <w:lang w:val="en-US" w:eastAsia="zh-CN"/>
        </w:rPr>
      </w:pP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公务接待费支出0万元，全年接待</w:t>
      </w:r>
      <w:r>
        <w:rPr>
          <w:rFonts w:hint="eastAsia" w:ascii="仿宋_GB2312" w:eastAsia="仿宋_GB2312" w:cs="Times New Roman"/>
          <w:color w:val="auto"/>
          <w:sz w:val="32"/>
          <w:szCs w:val="32"/>
          <w:lang w:val="en-US" w:eastAsia="zh-CN"/>
        </w:rPr>
        <w:t>0</w:t>
      </w:r>
      <w:r>
        <w:rPr>
          <w:rFonts w:hint="eastAsia" w:ascii="仿宋_GB2312" w:hAnsi="宋体" w:eastAsia="仿宋_GB2312" w:cs="Times New Roman"/>
          <w:color w:val="auto"/>
          <w:sz w:val="32"/>
          <w:szCs w:val="32"/>
        </w:rPr>
        <w:t>批次、0人次。</w:t>
      </w:r>
      <w:r>
        <w:rPr>
          <w:rFonts w:hint="eastAsia" w:ascii="仿宋_GB2312" w:hAnsi="宋体" w:eastAsia="仿宋_GB2312" w:cs="Times New Roman"/>
          <w:color w:val="auto"/>
          <w:sz w:val="32"/>
          <w:szCs w:val="32"/>
          <w:lang w:eastAsia="zh-CN"/>
        </w:rPr>
        <w:t>与</w:t>
      </w:r>
      <w:r>
        <w:rPr>
          <w:rFonts w:hint="eastAsia" w:ascii="仿宋_GB2312" w:hAnsi="宋体" w:eastAsia="仿宋_GB2312" w:cs="Times New Roman"/>
          <w:color w:val="auto"/>
          <w:sz w:val="32"/>
          <w:szCs w:val="32"/>
        </w:rPr>
        <w:t>201</w:t>
      </w:r>
      <w:r>
        <w:rPr>
          <w:rFonts w:hint="eastAsia" w:ascii="仿宋_GB2312" w:eastAsia="仿宋_GB2312" w:cs="Times New Roman"/>
          <w:color w:val="auto"/>
          <w:sz w:val="32"/>
          <w:szCs w:val="32"/>
          <w:lang w:val="en-US" w:eastAsia="zh-CN"/>
        </w:rPr>
        <w:t>6</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持平</w:t>
      </w:r>
      <w:r>
        <w:rPr>
          <w:rFonts w:hint="eastAsia" w:ascii="仿宋_GB2312" w:hAnsi="宋体" w:eastAsia="仿宋_GB2312" w:cs="Times New Roman"/>
          <w:color w:val="auto"/>
          <w:sz w:val="32"/>
          <w:szCs w:val="32"/>
        </w:rPr>
        <w:t>，主要原因是为贯彻落实《党政机关厉行节约反对浪费条例》，结合严控“三公”支出有关要求，相应压减接待经费支出。</w:t>
      </w:r>
    </w:p>
    <w:p>
      <w:pPr>
        <w:numPr>
          <w:ilvl w:val="0"/>
          <w:numId w:val="0"/>
        </w:numPr>
        <w:ind w:firstLine="321" w:firstLineChars="100"/>
        <w:rPr>
          <w:rFonts w:hint="eastAsia" w:ascii="楷体_GB2312" w:hAnsi="宋体" w:eastAsia="楷体_GB2312" w:cs="宋体"/>
          <w:b/>
          <w:color w:val="auto"/>
          <w:sz w:val="32"/>
          <w:szCs w:val="32"/>
        </w:rPr>
      </w:pPr>
      <w:r>
        <w:rPr>
          <w:rFonts w:hint="eastAsia" w:ascii="楷体_GB2312" w:hAnsi="宋体" w:eastAsia="楷体_GB2312" w:cs="宋体"/>
          <w:b/>
          <w:color w:val="auto"/>
          <w:sz w:val="32"/>
          <w:szCs w:val="32"/>
          <w:lang w:eastAsia="zh-CN"/>
        </w:rPr>
        <w:t>（八）</w:t>
      </w:r>
      <w:r>
        <w:rPr>
          <w:rFonts w:hint="eastAsia" w:ascii="楷体_GB2312" w:hAnsi="宋体" w:eastAsia="楷体_GB2312" w:cs="宋体"/>
          <w:b/>
          <w:color w:val="auto"/>
          <w:sz w:val="32"/>
          <w:szCs w:val="32"/>
        </w:rPr>
        <w:t>政府性基金预算财政拨款收入支出决算情况说明</w:t>
      </w:r>
    </w:p>
    <w:p>
      <w:pPr>
        <w:spacing w:line="580" w:lineRule="exact"/>
        <w:ind w:firstLine="600"/>
        <w:rPr>
          <w:rFonts w:hint="eastAsia" w:ascii="仿宋_GB2312" w:hAnsi="宋体" w:eastAsia="仿宋_GB2312"/>
          <w:color w:val="auto"/>
          <w:sz w:val="32"/>
          <w:szCs w:val="32"/>
        </w:rPr>
      </w:pPr>
      <w:r>
        <w:rPr>
          <w:rFonts w:hint="eastAsia" w:ascii="仿宋_GB2312" w:hAnsi="宋体" w:eastAsia="仿宋_GB2312"/>
          <w:color w:val="auto"/>
          <w:sz w:val="32"/>
          <w:szCs w:val="32"/>
        </w:rPr>
        <w:t>无相关情况。</w:t>
      </w:r>
    </w:p>
    <w:p>
      <w:pPr>
        <w:ind w:firstLine="321" w:firstLineChars="100"/>
        <w:rPr>
          <w:rFonts w:hint="eastAsia" w:ascii="楷体_GB2312" w:hAnsi="宋体" w:eastAsia="楷体_GB2312" w:cs="宋体"/>
          <w:b/>
          <w:color w:val="auto"/>
          <w:sz w:val="32"/>
          <w:szCs w:val="32"/>
        </w:rPr>
      </w:pPr>
      <w:r>
        <w:rPr>
          <w:rFonts w:hint="eastAsia" w:ascii="楷体_GB2312" w:hAnsi="宋体" w:eastAsia="楷体_GB2312" w:cs="宋体"/>
          <w:b/>
          <w:color w:val="auto"/>
          <w:sz w:val="32"/>
          <w:szCs w:val="32"/>
        </w:rPr>
        <w:t>（九）其他重要事项情况说明</w:t>
      </w:r>
    </w:p>
    <w:p>
      <w:pPr>
        <w:ind w:firstLine="803" w:firstLineChars="250"/>
        <w:rPr>
          <w:rFonts w:hint="eastAsia" w:ascii="仿宋_GB2312" w:hAnsi="宋体" w:eastAsia="仿宋_GB2312" w:cs="宋体"/>
          <w:b/>
          <w:color w:val="auto"/>
          <w:sz w:val="32"/>
          <w:szCs w:val="32"/>
        </w:rPr>
      </w:pPr>
      <w:r>
        <w:rPr>
          <w:rFonts w:hint="eastAsia" w:ascii="仿宋_GB2312" w:eastAsia="仿宋_GB2312"/>
          <w:b/>
          <w:color w:val="auto"/>
          <w:sz w:val="32"/>
          <w:szCs w:val="32"/>
        </w:rPr>
        <w:t>1.</w:t>
      </w:r>
      <w:r>
        <w:rPr>
          <w:rFonts w:hint="eastAsia" w:ascii="仿宋_GB2312" w:hAnsi="宋体" w:eastAsia="仿宋_GB2312" w:cs="宋体"/>
          <w:b/>
          <w:color w:val="auto"/>
          <w:sz w:val="32"/>
          <w:szCs w:val="32"/>
        </w:rPr>
        <w:t>机关运行经费支出情况说明。</w:t>
      </w:r>
    </w:p>
    <w:p>
      <w:pPr>
        <w:spacing w:line="580" w:lineRule="exact"/>
        <w:ind w:firstLine="600"/>
        <w:rPr>
          <w:rFonts w:hint="eastAsia" w:ascii="仿宋_GB2312" w:hAnsi="仿宋_GB2312" w:eastAsia="仿宋_GB2312"/>
          <w:color w:val="auto"/>
          <w:sz w:val="32"/>
        </w:rPr>
      </w:pPr>
      <w:r>
        <w:rPr>
          <w:rFonts w:hint="eastAsia" w:ascii="仿宋..瑵ě瑵." w:hAnsi="仿宋..瑵ě瑵." w:eastAsia="仿宋..瑵ě瑵."/>
          <w:color w:val="auto"/>
          <w:sz w:val="32"/>
        </w:rPr>
        <w:t>201</w:t>
      </w:r>
      <w:r>
        <w:rPr>
          <w:rFonts w:hint="eastAsia" w:ascii="仿宋..瑵ě瑵." w:hAnsi="仿宋..瑵ě瑵." w:eastAsia="仿宋..瑵ě瑵."/>
          <w:color w:val="auto"/>
          <w:sz w:val="32"/>
          <w:lang w:val="en-US" w:eastAsia="zh-CN"/>
        </w:rPr>
        <w:t>7</w:t>
      </w:r>
      <w:r>
        <w:rPr>
          <w:rFonts w:hint="eastAsia" w:ascii="仿宋..瑵ě瑵." w:hAnsi="仿宋..瑵ě瑵." w:eastAsia="仿宋..瑵ě瑵."/>
          <w:color w:val="auto"/>
          <w:sz w:val="32"/>
        </w:rPr>
        <w:t>年度，机关运行经费支出</w:t>
      </w:r>
      <w:r>
        <w:rPr>
          <w:rFonts w:hint="eastAsia" w:ascii="仿宋..瑵ě瑵." w:hAnsi="仿宋..瑵ě瑵." w:eastAsia="仿宋..瑵ě瑵."/>
          <w:color w:val="auto"/>
          <w:sz w:val="32"/>
          <w:lang w:val="en-US" w:eastAsia="zh-CN"/>
        </w:rPr>
        <w:t>15.01</w:t>
      </w:r>
      <w:r>
        <w:rPr>
          <w:rFonts w:hint="eastAsia" w:ascii="仿宋..瑵ě瑵." w:hAnsi="仿宋..瑵ě瑵." w:eastAsia="仿宋..瑵ě瑵."/>
          <w:color w:val="auto"/>
          <w:sz w:val="32"/>
        </w:rPr>
        <w:t>万元，</w:t>
      </w:r>
      <w:r>
        <w:rPr>
          <w:rFonts w:hint="eastAsia" w:ascii="仿宋_GB2312" w:hAnsi="仿宋_GB2312" w:eastAsia="仿宋_GB2312"/>
          <w:color w:val="auto"/>
          <w:sz w:val="32"/>
        </w:rPr>
        <w:t>比201</w:t>
      </w:r>
      <w:r>
        <w:rPr>
          <w:rFonts w:hint="eastAsia" w:ascii="仿宋_GB2312" w:hAnsi="仿宋_GB2312" w:eastAsia="仿宋_GB2312"/>
          <w:color w:val="auto"/>
          <w:sz w:val="32"/>
          <w:lang w:val="en-US" w:eastAsia="zh-CN"/>
        </w:rPr>
        <w:t>6</w:t>
      </w:r>
      <w:r>
        <w:rPr>
          <w:rFonts w:hint="eastAsia" w:ascii="仿宋_GB2312" w:hAnsi="仿宋_GB2312" w:eastAsia="仿宋_GB2312"/>
          <w:color w:val="auto"/>
          <w:sz w:val="32"/>
        </w:rPr>
        <w:t>年决算数同口径减少</w:t>
      </w:r>
      <w:r>
        <w:rPr>
          <w:rFonts w:hint="eastAsia" w:ascii="仿宋_GB2312" w:hAnsi="仿宋_GB2312" w:eastAsia="仿宋_GB2312"/>
          <w:color w:val="auto"/>
          <w:sz w:val="32"/>
          <w:lang w:val="en-US" w:eastAsia="zh-CN"/>
        </w:rPr>
        <w:t>0.39</w:t>
      </w:r>
      <w:r>
        <w:rPr>
          <w:rFonts w:hint="eastAsia" w:ascii="仿宋_GB2312" w:hAnsi="仿宋_GB2312" w:eastAsia="仿宋_GB2312"/>
          <w:color w:val="auto"/>
          <w:sz w:val="32"/>
        </w:rPr>
        <w:t>万元，降低</w:t>
      </w:r>
      <w:r>
        <w:rPr>
          <w:rFonts w:hint="eastAsia" w:ascii="仿宋_GB2312" w:hAnsi="仿宋_GB2312" w:eastAsia="仿宋_GB2312"/>
          <w:color w:val="auto"/>
          <w:sz w:val="32"/>
          <w:lang w:val="en-US" w:eastAsia="zh-CN"/>
        </w:rPr>
        <w:t>2.6</w:t>
      </w:r>
      <w:r>
        <w:rPr>
          <w:rFonts w:hint="eastAsia" w:ascii="仿宋_GB2312" w:hAnsi="仿宋_GB2312" w:eastAsia="仿宋_GB2312"/>
          <w:color w:val="auto"/>
          <w:sz w:val="32"/>
        </w:rPr>
        <w:t>%。主要原因是认真贯彻执行中央八项规定精神，厉行节约，压缩经费支出。</w:t>
      </w:r>
    </w:p>
    <w:p>
      <w:pPr>
        <w:spacing w:line="580" w:lineRule="exact"/>
        <w:ind w:firstLine="600"/>
        <w:rPr>
          <w:rFonts w:hint="eastAsia" w:ascii="仿宋_GB2312" w:hAnsi="仿宋_GB2312" w:eastAsia="仿宋_GB2312"/>
          <w:color w:val="auto"/>
          <w:sz w:val="32"/>
        </w:rPr>
      </w:pPr>
    </w:p>
    <w:p>
      <w:pPr>
        <w:spacing w:line="580" w:lineRule="exact"/>
        <w:ind w:firstLine="600"/>
        <w:rPr>
          <w:rFonts w:hint="eastAsia" w:ascii="仿宋_GB2312" w:hAnsi="仿宋_GB2312" w:eastAsia="仿宋_GB2312"/>
          <w:color w:val="auto"/>
          <w:sz w:val="32"/>
        </w:rPr>
      </w:pPr>
    </w:p>
    <w:tbl>
      <w:tblPr>
        <w:tblStyle w:val="5"/>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9"/>
        <w:gridCol w:w="1347"/>
        <w:gridCol w:w="1830"/>
        <w:gridCol w:w="639"/>
        <w:gridCol w:w="2175"/>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序号</w:t>
            </w:r>
          </w:p>
        </w:tc>
        <w:tc>
          <w:tcPr>
            <w:tcW w:w="13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项目</w:t>
            </w:r>
          </w:p>
        </w:tc>
        <w:tc>
          <w:tcPr>
            <w:tcW w:w="183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金额（万元）</w:t>
            </w:r>
          </w:p>
        </w:tc>
        <w:tc>
          <w:tcPr>
            <w:tcW w:w="639"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序号</w:t>
            </w: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项目</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1</w:t>
            </w:r>
          </w:p>
        </w:tc>
        <w:tc>
          <w:tcPr>
            <w:tcW w:w="1347"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办公费</w:t>
            </w:r>
          </w:p>
        </w:tc>
        <w:tc>
          <w:tcPr>
            <w:tcW w:w="1830" w:type="dxa"/>
            <w:tcBorders>
              <w:top w:val="single" w:color="000000" w:sz="4" w:space="0"/>
              <w:left w:val="single" w:color="000000" w:sz="4" w:space="0"/>
              <w:bottom w:val="single" w:color="000000" w:sz="4" w:space="0"/>
            </w:tcBorders>
            <w:vAlign w:val="top"/>
          </w:tcPr>
          <w:p>
            <w:pPr>
              <w:jc w:val="left"/>
              <w:rPr>
                <w:rFonts w:hint="default" w:ascii="宋体 . . 瑵ě瑵 ." w:hAnsi="宋体 . . 瑵ě瑵 ." w:eastAsia="宋体 . . 瑵ě瑵 ." w:cs="宋体 . . 瑵ě瑵 ."/>
                <w:i w:val="0"/>
                <w:color w:val="auto"/>
                <w:sz w:val="21"/>
                <w:szCs w:val="21"/>
                <w:u w:val="none"/>
              </w:rPr>
            </w:pPr>
          </w:p>
        </w:tc>
        <w:tc>
          <w:tcPr>
            <w:tcW w:w="639"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9</w:t>
            </w:r>
          </w:p>
        </w:tc>
        <w:tc>
          <w:tcPr>
            <w:tcW w:w="21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日常维修费</w:t>
            </w:r>
          </w:p>
        </w:tc>
        <w:tc>
          <w:tcPr>
            <w:tcW w:w="183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 . 瑵ě瑵 ." w:hAnsi="宋体 . . 瑵ě瑵 ." w:eastAsia="宋体 . . 瑵ě瑵 ." w:cs="宋体 . . 瑵ě瑵 ."/>
                <w:i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2</w:t>
            </w:r>
          </w:p>
        </w:tc>
        <w:tc>
          <w:tcPr>
            <w:tcW w:w="1347"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印刷费</w:t>
            </w:r>
          </w:p>
        </w:tc>
        <w:tc>
          <w:tcPr>
            <w:tcW w:w="1830" w:type="dxa"/>
            <w:tcBorders>
              <w:top w:val="single" w:color="000000" w:sz="4" w:space="0"/>
              <w:left w:val="single" w:color="000000" w:sz="4" w:space="0"/>
              <w:bottom w:val="single" w:color="000000" w:sz="4" w:space="0"/>
            </w:tcBorders>
            <w:vAlign w:val="top"/>
          </w:tcPr>
          <w:p>
            <w:pPr>
              <w:jc w:val="left"/>
              <w:rPr>
                <w:rFonts w:hint="default" w:ascii="宋体 . . 瑵ě瑵 ." w:hAnsi="宋体 . . 瑵ě瑵 ." w:eastAsia="宋体 . . 瑵ě瑵 ." w:cs="宋体 . . 瑵ě瑵 ."/>
                <w:i w:val="0"/>
                <w:color w:val="auto"/>
                <w:sz w:val="21"/>
                <w:szCs w:val="21"/>
                <w:u w:val="none"/>
              </w:rPr>
            </w:pPr>
          </w:p>
        </w:tc>
        <w:tc>
          <w:tcPr>
            <w:tcW w:w="639"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10</w:t>
            </w:r>
          </w:p>
        </w:tc>
        <w:tc>
          <w:tcPr>
            <w:tcW w:w="21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会议费</w:t>
            </w:r>
          </w:p>
        </w:tc>
        <w:tc>
          <w:tcPr>
            <w:tcW w:w="1830"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宋体 . . 瑵ě瑵 ." w:hAnsi="宋体 . . 瑵ě瑵 ." w:eastAsia="宋体 . . 瑵ě瑵 ." w:cs="宋体 . . 瑵ě瑵 ."/>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3</w:t>
            </w:r>
          </w:p>
        </w:tc>
        <w:tc>
          <w:tcPr>
            <w:tcW w:w="1347"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水费</w:t>
            </w:r>
          </w:p>
        </w:tc>
        <w:tc>
          <w:tcPr>
            <w:tcW w:w="1830" w:type="dxa"/>
            <w:tcBorders>
              <w:top w:val="single" w:color="000000" w:sz="4" w:space="0"/>
              <w:left w:val="single" w:color="000000" w:sz="4" w:space="0"/>
              <w:bottom w:val="single" w:color="000000" w:sz="4" w:space="0"/>
            </w:tcBorders>
            <w:vAlign w:val="top"/>
          </w:tcPr>
          <w:p>
            <w:pPr>
              <w:jc w:val="left"/>
              <w:rPr>
                <w:rFonts w:hint="default" w:ascii="宋体 . . 瑵ě瑵 ." w:hAnsi="宋体 . . 瑵ě瑵 ." w:eastAsia="宋体 . . 瑵ě瑵 ." w:cs="宋体 . . 瑵ě瑵 ."/>
                <w:i w:val="0"/>
                <w:color w:val="auto"/>
                <w:sz w:val="21"/>
                <w:szCs w:val="21"/>
                <w:u w:val="none"/>
              </w:rPr>
            </w:pPr>
          </w:p>
        </w:tc>
        <w:tc>
          <w:tcPr>
            <w:tcW w:w="639"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11</w:t>
            </w:r>
          </w:p>
        </w:tc>
        <w:tc>
          <w:tcPr>
            <w:tcW w:w="21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专用材料费</w:t>
            </w:r>
          </w:p>
        </w:tc>
        <w:tc>
          <w:tcPr>
            <w:tcW w:w="183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 . 瑵ě瑵 ." w:hAnsi="宋体 . . 瑵ě瑵 ." w:eastAsia="宋体 . . 瑵ě瑵 ." w:cs="宋体 . . 瑵ě瑵 ."/>
                <w:i w:val="0"/>
                <w:color w:val="auto"/>
                <w:sz w:val="21"/>
                <w:szCs w:val="21"/>
                <w:u w:val="none"/>
                <w:lang w:val="en-US" w:eastAsia="zh-CN"/>
              </w:rPr>
            </w:pPr>
            <w:r>
              <w:rPr>
                <w:rFonts w:hint="eastAsia" w:ascii="宋体 . . 瑵ě瑵 ." w:hAnsi="宋体 . . 瑵ě瑵 ." w:eastAsia="宋体 . . 瑵ě瑵 ." w:cs="宋体 . . 瑵ě瑵 ."/>
                <w:i w:val="0"/>
                <w:color w:val="auto"/>
                <w:sz w:val="21"/>
                <w:szCs w:val="21"/>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4</w:t>
            </w:r>
          </w:p>
        </w:tc>
        <w:tc>
          <w:tcPr>
            <w:tcW w:w="1347"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电费</w:t>
            </w:r>
          </w:p>
        </w:tc>
        <w:tc>
          <w:tcPr>
            <w:tcW w:w="1830" w:type="dxa"/>
            <w:tcBorders>
              <w:top w:val="single" w:color="000000" w:sz="4" w:space="0"/>
              <w:left w:val="single" w:color="000000" w:sz="4" w:space="0"/>
              <w:bottom w:val="single" w:color="000000" w:sz="4" w:space="0"/>
            </w:tcBorders>
            <w:vAlign w:val="top"/>
          </w:tcPr>
          <w:p>
            <w:pPr>
              <w:jc w:val="left"/>
              <w:rPr>
                <w:rFonts w:hint="default" w:ascii="宋体 . . 瑵ě瑵 ." w:hAnsi="宋体 . . 瑵ě瑵 ." w:eastAsia="宋体 . . 瑵ě瑵 ." w:cs="宋体 . . 瑵ě瑵 ."/>
                <w:i w:val="0"/>
                <w:color w:val="auto"/>
                <w:sz w:val="21"/>
                <w:szCs w:val="21"/>
                <w:u w:val="none"/>
              </w:rPr>
            </w:pPr>
          </w:p>
        </w:tc>
        <w:tc>
          <w:tcPr>
            <w:tcW w:w="639"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12</w:t>
            </w:r>
          </w:p>
        </w:tc>
        <w:tc>
          <w:tcPr>
            <w:tcW w:w="21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福利费</w:t>
            </w:r>
          </w:p>
        </w:tc>
        <w:tc>
          <w:tcPr>
            <w:tcW w:w="1830"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宋体 . . 瑵ě瑵 ." w:hAnsi="宋体 . . 瑵ě瑵 ." w:eastAsia="宋体 . . 瑵ě瑵 ." w:cs="宋体 . . 瑵ě瑵 ."/>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5</w:t>
            </w:r>
          </w:p>
        </w:tc>
        <w:tc>
          <w:tcPr>
            <w:tcW w:w="1347"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邮电费</w:t>
            </w:r>
          </w:p>
        </w:tc>
        <w:tc>
          <w:tcPr>
            <w:tcW w:w="1830" w:type="dxa"/>
            <w:tcBorders>
              <w:top w:val="single" w:color="000000" w:sz="4" w:space="0"/>
              <w:left w:val="single" w:color="000000" w:sz="4" w:space="0"/>
              <w:bottom w:val="single" w:color="000000" w:sz="4" w:space="0"/>
            </w:tcBorders>
            <w:vAlign w:val="top"/>
          </w:tcPr>
          <w:p>
            <w:pPr>
              <w:jc w:val="left"/>
              <w:rPr>
                <w:rFonts w:hint="eastAsia" w:ascii="宋体 . . 瑵ě瑵 ." w:hAnsi="宋体 . . 瑵ě瑵 ." w:eastAsia="宋体 . . 瑵ě瑵 ." w:cs="宋体 . . 瑵ě瑵 ."/>
                <w:i w:val="0"/>
                <w:color w:val="auto"/>
                <w:sz w:val="21"/>
                <w:szCs w:val="21"/>
                <w:u w:val="none"/>
                <w:lang w:val="en-US" w:eastAsia="zh-CN"/>
              </w:rPr>
            </w:pPr>
            <w:r>
              <w:rPr>
                <w:rFonts w:hint="eastAsia" w:ascii="宋体 . . 瑵ě瑵 ." w:hAnsi="宋体 . . 瑵ě瑵 ." w:eastAsia="宋体 . . 瑵ě瑵 ." w:cs="宋体 . . 瑵ě瑵 ."/>
                <w:i w:val="0"/>
                <w:color w:val="auto"/>
                <w:sz w:val="21"/>
                <w:szCs w:val="21"/>
                <w:u w:val="none"/>
                <w:lang w:val="en-US" w:eastAsia="zh-CN"/>
              </w:rPr>
              <w:t>1.62</w:t>
            </w:r>
          </w:p>
        </w:tc>
        <w:tc>
          <w:tcPr>
            <w:tcW w:w="639"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13</w:t>
            </w:r>
          </w:p>
        </w:tc>
        <w:tc>
          <w:tcPr>
            <w:tcW w:w="21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公务用车运行维护费</w:t>
            </w:r>
          </w:p>
        </w:tc>
        <w:tc>
          <w:tcPr>
            <w:tcW w:w="183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 . 瑵ě瑵 ." w:hAnsi="宋体 . . 瑵ě瑵 ." w:eastAsia="宋体 . . 瑵ě瑵 ." w:cs="宋体 . . 瑵ě瑵 ."/>
                <w:i w:val="0"/>
                <w:color w:val="auto"/>
                <w:sz w:val="21"/>
                <w:szCs w:val="21"/>
                <w:u w:val="none"/>
                <w:lang w:val="en-US" w:eastAsia="zh-CN"/>
              </w:rPr>
            </w:pPr>
            <w:r>
              <w:rPr>
                <w:rFonts w:hint="eastAsia" w:ascii="宋体 . . 瑵ě瑵 ." w:hAnsi="宋体 . . 瑵ě瑵 ." w:eastAsia="宋体 . . 瑵ě瑵 ." w:cs="宋体 . . 瑵ě瑵 ."/>
                <w:i w:val="0"/>
                <w:color w:val="auto"/>
                <w:sz w:val="21"/>
                <w:szCs w:val="21"/>
                <w:u w:val="none"/>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6</w:t>
            </w:r>
          </w:p>
        </w:tc>
        <w:tc>
          <w:tcPr>
            <w:tcW w:w="1347"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取暖费</w:t>
            </w:r>
          </w:p>
        </w:tc>
        <w:tc>
          <w:tcPr>
            <w:tcW w:w="1830" w:type="dxa"/>
            <w:tcBorders>
              <w:top w:val="single" w:color="000000" w:sz="4" w:space="0"/>
              <w:left w:val="single" w:color="000000" w:sz="4" w:space="0"/>
              <w:bottom w:val="single" w:color="000000" w:sz="4" w:space="0"/>
            </w:tcBorders>
            <w:vAlign w:val="top"/>
          </w:tcPr>
          <w:p>
            <w:pPr>
              <w:jc w:val="left"/>
              <w:rPr>
                <w:rFonts w:hint="default" w:ascii="宋体 . . 瑵ě瑵 ." w:hAnsi="宋体 . . 瑵ě瑵 ." w:eastAsia="宋体 . . 瑵ě瑵 ." w:cs="宋体 . . 瑵ě瑵 ."/>
                <w:i w:val="0"/>
                <w:color w:val="auto"/>
                <w:sz w:val="21"/>
                <w:szCs w:val="21"/>
                <w:u w:val="none"/>
              </w:rPr>
            </w:pPr>
          </w:p>
        </w:tc>
        <w:tc>
          <w:tcPr>
            <w:tcW w:w="639"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14</w:t>
            </w:r>
          </w:p>
        </w:tc>
        <w:tc>
          <w:tcPr>
            <w:tcW w:w="21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一般设备购置费</w:t>
            </w:r>
          </w:p>
        </w:tc>
        <w:tc>
          <w:tcPr>
            <w:tcW w:w="183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 . 瑵ě瑵 ." w:hAnsi="宋体 . . 瑵ě瑵 ." w:eastAsia="宋体 . . 瑵ě瑵 ." w:cs="宋体 . . 瑵ě瑵 ."/>
                <w:i w:val="0"/>
                <w:color w:val="auto"/>
                <w:sz w:val="21"/>
                <w:szCs w:val="21"/>
                <w:u w:val="none"/>
                <w:lang w:val="en-US" w:eastAsia="zh-CN"/>
              </w:rPr>
            </w:pPr>
            <w:r>
              <w:rPr>
                <w:rFonts w:hint="eastAsia" w:ascii="宋体 . . 瑵ě瑵 ." w:hAnsi="宋体 . . 瑵ě瑵 ." w:eastAsia="宋体 . . 瑵ě瑵 ." w:cs="宋体 . . 瑵ě瑵 ."/>
                <w:i w:val="0"/>
                <w:color w:val="auto"/>
                <w:sz w:val="21"/>
                <w:szCs w:val="21"/>
                <w:u w:val="none"/>
                <w:lang w:val="en-US" w:eastAsia="zh-CN"/>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7</w:t>
            </w:r>
          </w:p>
        </w:tc>
        <w:tc>
          <w:tcPr>
            <w:tcW w:w="1347"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物业管理费</w:t>
            </w:r>
          </w:p>
        </w:tc>
        <w:tc>
          <w:tcPr>
            <w:tcW w:w="1830" w:type="dxa"/>
            <w:tcBorders>
              <w:top w:val="single" w:color="000000" w:sz="4" w:space="0"/>
              <w:left w:val="single" w:color="000000" w:sz="4" w:space="0"/>
              <w:bottom w:val="single" w:color="000000" w:sz="4" w:space="0"/>
            </w:tcBorders>
            <w:vAlign w:val="top"/>
          </w:tcPr>
          <w:p>
            <w:pPr>
              <w:jc w:val="left"/>
              <w:rPr>
                <w:rFonts w:hint="eastAsia" w:ascii="宋体 . . 瑵ě瑵 ." w:hAnsi="宋体 . . 瑵ě瑵 ." w:eastAsia="宋体 . . 瑵ě瑵 ." w:cs="宋体 . . 瑵ě瑵 ."/>
                <w:i w:val="0"/>
                <w:color w:val="auto"/>
                <w:sz w:val="21"/>
                <w:szCs w:val="21"/>
                <w:u w:val="none"/>
                <w:lang w:val="en-US" w:eastAsia="zh-CN"/>
              </w:rPr>
            </w:pPr>
          </w:p>
        </w:tc>
        <w:tc>
          <w:tcPr>
            <w:tcW w:w="639"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15</w:t>
            </w:r>
          </w:p>
        </w:tc>
        <w:tc>
          <w:tcPr>
            <w:tcW w:w="21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其他费用</w:t>
            </w:r>
          </w:p>
        </w:tc>
        <w:tc>
          <w:tcPr>
            <w:tcW w:w="1830"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 . 瑵ě瑵 ." w:hAnsi="宋体 . . 瑵ě瑵 ." w:eastAsia="宋体 . . 瑵ě瑵 ." w:cs="宋体 . . 瑵ě瑵 ."/>
                <w:i w:val="0"/>
                <w:color w:val="auto"/>
                <w:sz w:val="21"/>
                <w:szCs w:val="21"/>
                <w:u w:val="none"/>
                <w:lang w:val="en-US" w:eastAsia="zh-CN"/>
              </w:rPr>
            </w:pPr>
            <w:r>
              <w:rPr>
                <w:rFonts w:hint="eastAsia" w:ascii="宋体 . . 瑵ě瑵 ." w:hAnsi="宋体 . . 瑵ě瑵 ." w:eastAsia="宋体 . . 瑵ě瑵 ." w:cs="宋体 . . 瑵ě瑵 ."/>
                <w:i w:val="0"/>
                <w:color w:val="auto"/>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8</w:t>
            </w:r>
          </w:p>
        </w:tc>
        <w:tc>
          <w:tcPr>
            <w:tcW w:w="1347"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default" w:ascii="宋体 . . 瑵ě瑵 ." w:hAnsi="宋体 . . 瑵ě瑵 ." w:eastAsia="宋体 . . 瑵ě瑵 ." w:cs="宋体 . . 瑵ě瑵 ."/>
                <w:i w:val="0"/>
                <w:color w:val="auto"/>
                <w:sz w:val="21"/>
                <w:szCs w:val="21"/>
                <w:u w:val="none"/>
              </w:rPr>
            </w:pPr>
            <w:r>
              <w:rPr>
                <w:rFonts w:hint="default" w:ascii="宋体 . . 瑵ě瑵 ." w:hAnsi="宋体 . . 瑵ě瑵 ." w:eastAsia="宋体 . . 瑵ě瑵 ." w:cs="宋体 . . 瑵ě瑵 ."/>
                <w:i w:val="0"/>
                <w:color w:val="auto"/>
                <w:kern w:val="0"/>
                <w:sz w:val="21"/>
                <w:szCs w:val="21"/>
                <w:u w:val="none"/>
                <w:lang w:val="en-US" w:eastAsia="zh-CN" w:bidi="ar-SA"/>
              </w:rPr>
              <w:t>差旅费</w:t>
            </w:r>
          </w:p>
        </w:tc>
        <w:tc>
          <w:tcPr>
            <w:tcW w:w="1830" w:type="dxa"/>
            <w:tcBorders>
              <w:top w:val="single" w:color="000000" w:sz="4" w:space="0"/>
              <w:left w:val="single" w:color="000000" w:sz="4" w:space="0"/>
              <w:bottom w:val="single" w:color="000000" w:sz="4" w:space="0"/>
            </w:tcBorders>
            <w:vAlign w:val="top"/>
          </w:tcPr>
          <w:p>
            <w:pPr>
              <w:jc w:val="left"/>
              <w:rPr>
                <w:rFonts w:hint="eastAsia" w:ascii="宋体 . . 瑵ě瑵 ." w:hAnsi="宋体 . . 瑵ě瑵 ." w:eastAsia="宋体 . . 瑵ě瑵 ." w:cs="宋体 . . 瑵ě瑵 ."/>
                <w:i w:val="0"/>
                <w:color w:val="auto"/>
                <w:sz w:val="21"/>
                <w:szCs w:val="21"/>
                <w:u w:val="none"/>
                <w:lang w:val="en-US" w:eastAsia="zh-CN"/>
              </w:rPr>
            </w:pPr>
            <w:r>
              <w:rPr>
                <w:rFonts w:hint="eastAsia" w:ascii="宋体 . . 瑵ě瑵 ." w:hAnsi="宋体 . . 瑵ě瑵 ." w:eastAsia="宋体 . . 瑵ě瑵 ." w:cs="宋体 . . 瑵ě瑵 ."/>
                <w:i w:val="0"/>
                <w:color w:val="auto"/>
                <w:sz w:val="21"/>
                <w:szCs w:val="21"/>
                <w:u w:val="none"/>
                <w:lang w:val="en-US" w:eastAsia="zh-CN"/>
              </w:rPr>
              <w:t>2.4</w:t>
            </w:r>
          </w:p>
        </w:tc>
        <w:tc>
          <w:tcPr>
            <w:tcW w:w="639" w:type="dxa"/>
            <w:tcBorders>
              <w:top w:val="single" w:color="000000" w:sz="4" w:space="0"/>
              <w:left w:val="single" w:color="000000" w:sz="4" w:space="0"/>
            </w:tcBorders>
            <w:vAlign w:val="center"/>
          </w:tcPr>
          <w:p>
            <w:pPr>
              <w:jc w:val="center"/>
              <w:rPr>
                <w:rFonts w:hint="eastAsia" w:ascii="宋体" w:hAnsi="宋体" w:eastAsia="宋体" w:cs="宋体"/>
                <w:i w:val="0"/>
                <w:color w:val="auto"/>
                <w:sz w:val="21"/>
                <w:szCs w:val="21"/>
                <w:u w:val="none"/>
              </w:rPr>
            </w:pPr>
          </w:p>
        </w:tc>
        <w:tc>
          <w:tcPr>
            <w:tcW w:w="2175" w:type="dxa"/>
            <w:tcBorders>
              <w:top w:val="single" w:color="000000" w:sz="4" w:space="0"/>
              <w:left w:val="single" w:color="000000" w:sz="4" w:space="0"/>
              <w:right w:val="single" w:color="000000" w:sz="4" w:space="0"/>
            </w:tcBorders>
            <w:vAlign w:val="top"/>
          </w:tcPr>
          <w:p>
            <w:pPr>
              <w:jc w:val="center"/>
              <w:rPr>
                <w:rFonts w:hint="default" w:ascii="宋体 . . 瑵ě瑵 ." w:hAnsi="宋体 . . 瑵ě瑵 ." w:eastAsia="宋体 . . 瑵ě瑵 ." w:cs="宋体 . . 瑵ě瑵 ."/>
                <w:i w:val="0"/>
                <w:color w:val="auto"/>
                <w:sz w:val="21"/>
                <w:szCs w:val="21"/>
                <w:u w:val="none"/>
              </w:rPr>
            </w:pPr>
          </w:p>
        </w:tc>
        <w:tc>
          <w:tcPr>
            <w:tcW w:w="1830" w:type="dxa"/>
            <w:tcBorders>
              <w:top w:val="single" w:color="000000" w:sz="4" w:space="0"/>
              <w:left w:val="single" w:color="000000" w:sz="4" w:space="0"/>
              <w:right w:val="single" w:color="000000" w:sz="4" w:space="0"/>
            </w:tcBorders>
            <w:vAlign w:val="top"/>
          </w:tcPr>
          <w:p>
            <w:pPr>
              <w:jc w:val="left"/>
              <w:rPr>
                <w:rFonts w:hint="default" w:ascii="宋体 . . 瑵ě瑵 ." w:hAnsi="宋体 . . 瑵ě瑵 ." w:eastAsia="宋体 . . 瑵ě瑵 ." w:cs="宋体 . . 瑵ě瑵 ."/>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1"/>
                <w:szCs w:val="21"/>
                <w:u w:val="none"/>
              </w:rPr>
            </w:pPr>
          </w:p>
        </w:tc>
        <w:tc>
          <w:tcPr>
            <w:tcW w:w="5991" w:type="dxa"/>
            <w:gridSpan w:val="4"/>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SA"/>
              </w:rPr>
              <w:t>合计：</w:t>
            </w:r>
            <w:r>
              <w:rPr>
                <w:rFonts w:hint="eastAsia" w:ascii="宋体" w:hAnsi="宋体" w:cs="宋体"/>
                <w:i w:val="0"/>
                <w:color w:val="auto"/>
                <w:kern w:val="0"/>
                <w:sz w:val="21"/>
                <w:szCs w:val="21"/>
                <w:u w:val="none"/>
                <w:lang w:val="en-US" w:eastAsia="zh-CN" w:bidi="ar-SA"/>
              </w:rPr>
              <w:t>15.01</w:t>
            </w:r>
          </w:p>
        </w:tc>
        <w:tc>
          <w:tcPr>
            <w:tcW w:w="1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1"/>
                <w:szCs w:val="21"/>
                <w:u w:val="none"/>
              </w:rPr>
            </w:pPr>
          </w:p>
        </w:tc>
      </w:tr>
    </w:tbl>
    <w:p>
      <w:pPr>
        <w:numPr>
          <w:ilvl w:val="0"/>
          <w:numId w:val="2"/>
        </w:numPr>
        <w:ind w:firstLine="803" w:firstLineChars="250"/>
        <w:rPr>
          <w:rFonts w:hint="eastAsia" w:ascii="仿宋_GB2312" w:hAnsi="宋体" w:eastAsia="仿宋_GB2312" w:cs="宋体"/>
          <w:b/>
          <w:color w:val="auto"/>
          <w:sz w:val="32"/>
          <w:szCs w:val="32"/>
        </w:rPr>
      </w:pPr>
      <w:r>
        <w:rPr>
          <w:rFonts w:hint="eastAsia" w:ascii="仿宋_GB2312" w:hAnsi="宋体" w:eastAsia="仿宋_GB2312" w:cs="宋体"/>
          <w:b/>
          <w:color w:val="auto"/>
          <w:sz w:val="32"/>
          <w:szCs w:val="32"/>
        </w:rPr>
        <w:t>政府采购支出情况说明。</w:t>
      </w:r>
    </w:p>
    <w:p>
      <w:pPr>
        <w:numPr>
          <w:ilvl w:val="0"/>
          <w:numId w:val="0"/>
        </w:numPr>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 xml:space="preserve">     2017年度政府采购支出总额6.83万元，其中：政府采购货物支出6.83万元、政府采购工程支出0万元、政府采购支出0万元。</w:t>
      </w:r>
    </w:p>
    <w:p>
      <w:pPr>
        <w:ind w:firstLine="803" w:firstLineChars="250"/>
        <w:rPr>
          <w:rFonts w:hint="eastAsia" w:ascii="仿宋_GB2312" w:eastAsia="仿宋_GB2312"/>
          <w:b/>
          <w:color w:val="auto"/>
          <w:sz w:val="32"/>
          <w:szCs w:val="32"/>
        </w:rPr>
      </w:pPr>
      <w:r>
        <w:rPr>
          <w:rFonts w:hint="eastAsia" w:ascii="仿宋_GB2312" w:eastAsia="仿宋_GB2312"/>
          <w:b/>
          <w:color w:val="auto"/>
          <w:sz w:val="32"/>
          <w:szCs w:val="32"/>
        </w:rPr>
        <w:t xml:space="preserve">3.2017 </w:t>
      </w:r>
      <w:r>
        <w:rPr>
          <w:rFonts w:hint="eastAsia" w:ascii="仿宋_GB2312" w:hAnsi="宋体" w:eastAsia="仿宋_GB2312" w:cs="宋体"/>
          <w:b/>
          <w:color w:val="auto"/>
          <w:sz w:val="32"/>
          <w:szCs w:val="32"/>
        </w:rPr>
        <w:t>年度预算绩效情况说明。</w:t>
      </w:r>
    </w:p>
    <w:p>
      <w:pPr>
        <w:rPr>
          <w:rFonts w:hint="eastAsia" w:ascii="仿宋_GB2312" w:hAnsi="宋体" w:eastAsia="仿宋_GB2312" w:cs="宋体"/>
          <w:color w:val="auto"/>
          <w:sz w:val="32"/>
          <w:szCs w:val="32"/>
          <w:lang w:eastAsia="zh-CN"/>
        </w:rPr>
      </w:pPr>
      <w:r>
        <w:rPr>
          <w:rFonts w:hint="eastAsia" w:ascii="仿宋_GB2312" w:eastAsia="仿宋_GB2312" w:cs="宋体"/>
          <w:color w:val="auto"/>
          <w:sz w:val="32"/>
          <w:szCs w:val="32"/>
        </w:rPr>
        <w:t xml:space="preserve">     </w:t>
      </w:r>
      <w:r>
        <w:rPr>
          <w:rFonts w:hint="eastAsia" w:ascii="仿宋_GB2312" w:hAnsi="宋体" w:eastAsia="仿宋_GB2312" w:cs="宋体"/>
          <w:color w:val="auto"/>
          <w:sz w:val="32"/>
          <w:szCs w:val="32"/>
        </w:rPr>
        <w:t>根据财政预算管理要求，</w:t>
      </w:r>
      <w:r>
        <w:rPr>
          <w:rFonts w:hint="eastAsia" w:ascii="仿宋_GB2312" w:hAnsi="宋体" w:eastAsia="仿宋_GB2312" w:cs="宋体"/>
          <w:color w:val="auto"/>
          <w:sz w:val="32"/>
          <w:szCs w:val="32"/>
          <w:lang w:eastAsia="zh-CN"/>
        </w:rPr>
        <w:t>区文联</w:t>
      </w:r>
      <w:r>
        <w:rPr>
          <w:rFonts w:hint="eastAsia" w:ascii="仿宋_GB2312" w:hAnsi="宋体" w:eastAsia="仿宋_GB2312" w:cs="宋体"/>
          <w:color w:val="auto"/>
          <w:sz w:val="32"/>
          <w:szCs w:val="32"/>
        </w:rPr>
        <w:t>组织开展部门整体支出绩效评价，涉及一般公共预算支出</w:t>
      </w:r>
      <w:r>
        <w:rPr>
          <w:rFonts w:hint="eastAsia" w:ascii="仿宋_GB2312" w:hAnsi="宋体" w:eastAsia="仿宋_GB2312" w:cs="宋体"/>
          <w:color w:val="auto"/>
          <w:sz w:val="32"/>
          <w:szCs w:val="32"/>
          <w:lang w:val="en-US" w:eastAsia="zh-CN"/>
        </w:rPr>
        <w:t>920.96</w:t>
      </w:r>
      <w:r>
        <w:rPr>
          <w:rFonts w:hint="eastAsia" w:ascii="仿宋_GB2312" w:hAnsi="宋体" w:eastAsia="仿宋_GB2312" w:cs="宋体"/>
          <w:color w:val="auto"/>
          <w:sz w:val="32"/>
          <w:szCs w:val="32"/>
        </w:rPr>
        <w:t>万元。从评价情况来看，</w:t>
      </w:r>
      <w:r>
        <w:rPr>
          <w:rFonts w:hint="eastAsia" w:ascii="仿宋_GB2312" w:hAnsi="宋体" w:eastAsia="仿宋_GB2312" w:cs="宋体"/>
          <w:color w:val="auto"/>
          <w:sz w:val="32"/>
          <w:szCs w:val="32"/>
          <w:lang w:eastAsia="zh-CN"/>
        </w:rPr>
        <w:t>部门预算安排保障了基本支出的合理需要，确保业务正常运转和日常工作项目的正常进行，在此基础上努力加强对下属各协会的建设与管理。</w:t>
      </w:r>
    </w:p>
    <w:p>
      <w:pPr>
        <w:ind w:firstLine="640" w:firstLineChars="200"/>
        <w:rPr>
          <w:rFonts w:hint="eastAsia" w:ascii="仿宋_GB2312" w:hAnsi="宋体" w:eastAsia="仿宋_GB2312" w:cs="宋体"/>
          <w:color w:val="auto"/>
          <w:sz w:val="32"/>
          <w:szCs w:val="32"/>
        </w:rPr>
      </w:pPr>
      <w:r>
        <w:rPr>
          <w:rFonts w:hint="eastAsia" w:ascii="仿宋" w:hAnsi="仿宋" w:eastAsia="仿宋"/>
          <w:color w:val="auto"/>
          <w:sz w:val="32"/>
          <w:szCs w:val="32"/>
        </w:rPr>
        <w:t>201</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年度</w:t>
      </w:r>
      <w:r>
        <w:rPr>
          <w:rFonts w:hint="eastAsia" w:ascii="仿宋" w:hAnsi="仿宋" w:eastAsia="仿宋"/>
          <w:color w:val="auto"/>
          <w:sz w:val="32"/>
          <w:szCs w:val="32"/>
          <w:lang w:eastAsia="zh-CN"/>
        </w:rPr>
        <w:t>区文联</w:t>
      </w:r>
      <w:r>
        <w:rPr>
          <w:rFonts w:hint="eastAsia" w:ascii="仿宋" w:hAnsi="仿宋" w:eastAsia="仿宋"/>
          <w:color w:val="auto"/>
          <w:sz w:val="32"/>
          <w:szCs w:val="32"/>
        </w:rPr>
        <w:t>认真对绩效项目进行了绩效评价，结果显示，项目支出绩效情况较为理想，达到了设定的各项绩效目标</w:t>
      </w:r>
      <w:r>
        <w:rPr>
          <w:rFonts w:hint="eastAsia" w:ascii="仿宋" w:hAnsi="仿宋" w:eastAsia="仿宋"/>
          <w:color w:val="auto"/>
          <w:sz w:val="32"/>
          <w:szCs w:val="32"/>
          <w:lang w:eastAsia="zh-CN"/>
        </w:rPr>
        <w:t>和效果</w:t>
      </w:r>
      <w:r>
        <w:rPr>
          <w:rFonts w:hint="eastAsia" w:ascii="仿宋" w:hAnsi="仿宋" w:eastAsia="仿宋"/>
          <w:color w:val="auto"/>
          <w:sz w:val="32"/>
          <w:szCs w:val="32"/>
        </w:rPr>
        <w:t>。</w:t>
      </w:r>
    </w:p>
    <w:p>
      <w:pPr>
        <w:rPr>
          <w:rFonts w:hint="eastAsia" w:ascii="仿宋_GB2312" w:hAnsi="宋体" w:eastAsia="仿宋_GB2312" w:cs="宋体"/>
          <w:b/>
          <w:color w:val="auto"/>
          <w:sz w:val="32"/>
          <w:szCs w:val="32"/>
        </w:rPr>
      </w:pPr>
      <w:r>
        <w:rPr>
          <w:rFonts w:hint="eastAsia" w:ascii="仿宋_GB2312" w:hAnsi="宋体" w:eastAsia="仿宋_GB2312" w:cs="宋体"/>
          <w:color w:val="auto"/>
          <w:sz w:val="32"/>
          <w:szCs w:val="32"/>
        </w:rPr>
        <w:t xml:space="preserve">   </w:t>
      </w:r>
      <w:r>
        <w:rPr>
          <w:rFonts w:hint="eastAsia" w:ascii="仿宋_GB2312" w:eastAsia="仿宋_GB2312"/>
          <w:b/>
          <w:color w:val="auto"/>
          <w:sz w:val="32"/>
          <w:szCs w:val="32"/>
        </w:rPr>
        <w:t>4.</w:t>
      </w:r>
      <w:r>
        <w:rPr>
          <w:rFonts w:hint="eastAsia" w:ascii="仿宋_GB2312" w:hAnsi="宋体" w:eastAsia="仿宋_GB2312" w:cs="宋体"/>
          <w:b/>
          <w:color w:val="auto"/>
          <w:sz w:val="32"/>
          <w:szCs w:val="32"/>
        </w:rPr>
        <w:t>国有资产占用情况说明。</w:t>
      </w:r>
    </w:p>
    <w:p>
      <w:pPr>
        <w:ind w:firstLine="320" w:firstLineChars="1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 xml:space="preserve"> 截至 2017年 12 月 31 日，</w:t>
      </w:r>
      <w:r>
        <w:rPr>
          <w:rFonts w:hint="eastAsia" w:ascii="仿宋_GB2312" w:hAnsi="宋体" w:eastAsia="仿宋_GB2312" w:cs="宋体"/>
          <w:color w:val="auto"/>
          <w:sz w:val="32"/>
          <w:szCs w:val="32"/>
          <w:lang w:eastAsia="zh-CN"/>
        </w:rPr>
        <w:t>区文联</w:t>
      </w:r>
      <w:r>
        <w:rPr>
          <w:rFonts w:hint="eastAsia" w:ascii="仿宋_GB2312" w:hAnsi="宋体" w:eastAsia="仿宋_GB2312" w:cs="宋体"/>
          <w:color w:val="auto"/>
          <w:sz w:val="32"/>
          <w:szCs w:val="32"/>
        </w:rPr>
        <w:t>共有车辆</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辆， 其中领导干部用车</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color w:val="auto"/>
          <w:sz w:val="32"/>
          <w:szCs w:val="32"/>
        </w:rPr>
        <w:t>辆、一般公务用车</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辆、一般执法执勤用车</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color w:val="auto"/>
          <w:sz w:val="32"/>
          <w:szCs w:val="32"/>
        </w:rPr>
        <w:t>辆、特种专业技术用车</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color w:val="auto"/>
          <w:sz w:val="32"/>
          <w:szCs w:val="32"/>
        </w:rPr>
        <w:t>辆、其他用车</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color w:val="auto"/>
          <w:sz w:val="32"/>
          <w:szCs w:val="32"/>
        </w:rPr>
        <w:t>辆；单价50万元以上通用设备</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color w:val="auto"/>
          <w:sz w:val="32"/>
          <w:szCs w:val="32"/>
        </w:rPr>
        <w:t>台（套），单价100万元以上专用设备</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color w:val="auto"/>
          <w:sz w:val="32"/>
          <w:szCs w:val="32"/>
        </w:rPr>
        <w:t>台（套）。</w:t>
      </w:r>
    </w:p>
    <w:p>
      <w:pPr>
        <w:ind w:firstLine="643" w:firstLineChars="200"/>
        <w:rPr>
          <w:rFonts w:hint="eastAsia" w:ascii="仿宋_GB2312" w:hAnsi="宋体" w:eastAsia="仿宋_GB2312" w:cs="宋体"/>
          <w:b/>
          <w:color w:val="auto"/>
          <w:sz w:val="32"/>
          <w:szCs w:val="32"/>
        </w:rPr>
      </w:pPr>
      <w:r>
        <w:rPr>
          <w:rFonts w:hint="eastAsia" w:ascii="仿宋_GB2312" w:eastAsia="仿宋_GB2312" w:cs="宋体"/>
          <w:b/>
          <w:color w:val="auto"/>
          <w:sz w:val="32"/>
          <w:szCs w:val="32"/>
        </w:rPr>
        <w:t>5</w:t>
      </w:r>
      <w:r>
        <w:rPr>
          <w:rFonts w:hint="eastAsia" w:ascii="仿宋_GB2312" w:hAnsi="宋体" w:eastAsia="仿宋_GB2312" w:cs="宋体"/>
          <w:b/>
          <w:color w:val="auto"/>
          <w:sz w:val="32"/>
          <w:szCs w:val="32"/>
        </w:rPr>
        <w:t>．部门需要说明的其他特殊事项。</w:t>
      </w:r>
    </w:p>
    <w:p>
      <w:pPr>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无其他特殊事项说明。</w:t>
      </w:r>
    </w:p>
    <w:p>
      <w:pPr>
        <w:ind w:firstLine="643" w:firstLineChars="200"/>
        <w:rPr>
          <w:rFonts w:hint="eastAsia" w:ascii="仿宋_GB2312" w:eastAsia="仿宋_GB2312" w:cs="宋体"/>
          <w:b/>
          <w:color w:val="auto"/>
          <w:sz w:val="32"/>
          <w:szCs w:val="32"/>
          <w:lang w:val="en-US" w:eastAsia="zh-CN"/>
        </w:rPr>
      </w:pPr>
      <w:r>
        <w:rPr>
          <w:rFonts w:hint="eastAsia" w:ascii="仿宋_GB2312" w:eastAsia="仿宋_GB2312" w:cs="宋体"/>
          <w:b/>
          <w:color w:val="auto"/>
          <w:sz w:val="32"/>
          <w:szCs w:val="32"/>
          <w:lang w:val="en-US" w:eastAsia="zh-CN"/>
        </w:rPr>
        <w:t>6.绩效评价结果。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val="0"/>
          <w:i w:val="0"/>
          <w:caps w:val="0"/>
          <w:color w:val="auto"/>
          <w:spacing w:val="0"/>
          <w:sz w:val="30"/>
          <w:szCs w:val="30"/>
          <w:lang w:val="en-US" w:eastAsia="zh-CN"/>
        </w:rPr>
        <w:t>区文联单位2017年重点</w:t>
      </w:r>
      <w:r>
        <w:rPr>
          <w:rFonts w:hint="eastAsia" w:ascii="仿宋_GB2312" w:hAnsi="仿宋_GB2312" w:eastAsia="仿宋_GB2312" w:cs="仿宋_GB2312"/>
          <w:b w:val="0"/>
          <w:i w:val="0"/>
          <w:caps w:val="0"/>
          <w:color w:val="auto"/>
          <w:spacing w:val="0"/>
          <w:sz w:val="30"/>
          <w:szCs w:val="30"/>
        </w:rPr>
        <w:t>项目绩效评价报告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sz w:val="24"/>
          <w:szCs w:val="24"/>
        </w:rPr>
        <w:t> 项目名称</w:t>
      </w:r>
      <w:r>
        <w:rPr>
          <w:rFonts w:hint="eastAsia" w:ascii="仿宋" w:hAnsi="仿宋" w:eastAsia="仿宋" w:cs="仿宋"/>
          <w:b w:val="0"/>
          <w:i w:val="0"/>
          <w:caps w:val="0"/>
          <w:color w:val="auto"/>
          <w:spacing w:val="0"/>
          <w:sz w:val="24"/>
          <w:szCs w:val="24"/>
          <w:lang w:eastAsia="zh-CN"/>
        </w:rPr>
        <w:t>：</w:t>
      </w:r>
      <w:r>
        <w:rPr>
          <w:rFonts w:hint="eastAsia" w:ascii="仿宋" w:hAnsi="仿宋" w:eastAsia="仿宋" w:cs="仿宋"/>
          <w:b w:val="0"/>
          <w:i w:val="0"/>
          <w:caps w:val="0"/>
          <w:color w:val="auto"/>
          <w:spacing w:val="0"/>
          <w:sz w:val="24"/>
          <w:szCs w:val="24"/>
          <w:lang w:val="en-US" w:eastAsia="zh-CN"/>
        </w:rPr>
        <w:t>1、</w:t>
      </w:r>
      <w:r>
        <w:rPr>
          <w:rFonts w:hint="eastAsia" w:ascii="仿宋" w:hAnsi="仿宋" w:eastAsia="仿宋" w:cs="仿宋"/>
          <w:b w:val="0"/>
          <w:i w:val="0"/>
          <w:caps w:val="0"/>
          <w:color w:val="auto"/>
          <w:spacing w:val="0"/>
          <w:sz w:val="24"/>
          <w:szCs w:val="24"/>
          <w:lang w:eastAsia="zh-CN"/>
        </w:rPr>
        <w:t>文艺创作与活动活</w:t>
      </w:r>
      <w:r>
        <w:rPr>
          <w:rFonts w:hint="eastAsia" w:ascii="仿宋" w:hAnsi="仿宋" w:eastAsia="仿宋" w:cs="仿宋"/>
          <w:b w:val="0"/>
          <w:i w:val="0"/>
          <w:caps w:val="0"/>
          <w:color w:val="auto"/>
          <w:spacing w:val="0"/>
          <w:sz w:val="24"/>
          <w:szCs w:val="24"/>
          <w:lang w:val="en-US" w:eastAsia="zh-CN"/>
        </w:rPr>
        <w:t>2、</w:t>
      </w:r>
      <w:r>
        <w:rPr>
          <w:rFonts w:hint="eastAsia" w:ascii="仿宋" w:hAnsi="仿宋" w:eastAsia="仿宋" w:cs="仿宋"/>
          <w:color w:val="auto"/>
          <w:kern w:val="0"/>
          <w:sz w:val="24"/>
          <w:szCs w:val="24"/>
        </w:rPr>
        <w:t>文艺交流与培训</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0" w:right="0" w:firstLine="0"/>
        <w:jc w:val="left"/>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sz w:val="24"/>
          <w:szCs w:val="24"/>
        </w:rPr>
        <w:t>评价方式：部门（单位）绩效自评</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0" w:right="0" w:firstLine="0"/>
        <w:jc w:val="left"/>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sz w:val="24"/>
          <w:szCs w:val="24"/>
        </w:rPr>
        <w:t>评价机构：部门（单位）评价组  </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0" w:right="0" w:firstLine="0"/>
        <w:jc w:val="left"/>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sz w:val="24"/>
          <w:szCs w:val="24"/>
        </w:rPr>
        <w:t> 报告日期： 2017  年</w:t>
      </w:r>
      <w:r>
        <w:rPr>
          <w:rFonts w:hint="eastAsia" w:ascii="仿宋" w:hAnsi="仿宋" w:eastAsia="仿宋" w:cs="仿宋"/>
          <w:b w:val="0"/>
          <w:i w:val="0"/>
          <w:caps w:val="0"/>
          <w:color w:val="auto"/>
          <w:spacing w:val="0"/>
          <w:sz w:val="24"/>
          <w:szCs w:val="24"/>
          <w:lang w:val="en-US" w:eastAsia="zh-CN"/>
        </w:rPr>
        <w:t>12</w:t>
      </w:r>
      <w:r>
        <w:rPr>
          <w:rFonts w:hint="eastAsia" w:ascii="仿宋" w:hAnsi="仿宋" w:eastAsia="仿宋" w:cs="仿宋"/>
          <w:b w:val="0"/>
          <w:i w:val="0"/>
          <w:caps w:val="0"/>
          <w:color w:val="auto"/>
          <w:spacing w:val="0"/>
          <w:sz w:val="24"/>
          <w:szCs w:val="24"/>
        </w:rPr>
        <w:t xml:space="preserve"> 月</w:t>
      </w:r>
      <w:r>
        <w:rPr>
          <w:rFonts w:hint="eastAsia" w:ascii="仿宋" w:hAnsi="仿宋" w:eastAsia="仿宋" w:cs="仿宋"/>
          <w:b w:val="0"/>
          <w:i w:val="0"/>
          <w:caps w:val="0"/>
          <w:color w:val="auto"/>
          <w:spacing w:val="0"/>
          <w:sz w:val="24"/>
          <w:szCs w:val="24"/>
          <w:lang w:val="en-US" w:eastAsia="zh-CN"/>
        </w:rPr>
        <w:t>31</w:t>
      </w:r>
      <w:r>
        <w:rPr>
          <w:rFonts w:hint="eastAsia" w:ascii="仿宋" w:hAnsi="仿宋" w:eastAsia="仿宋" w:cs="仿宋"/>
          <w:b w:val="0"/>
          <w:i w:val="0"/>
          <w:caps w:val="0"/>
          <w:color w:val="auto"/>
          <w:spacing w:val="0"/>
          <w:sz w:val="24"/>
          <w:szCs w:val="24"/>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0" w:right="0" w:firstLine="0"/>
        <w:jc w:val="left"/>
        <w:rPr>
          <w:rFonts w:hint="eastAsia" w:ascii="仿宋_GB2312" w:hAnsi="仿宋_GB2312" w:eastAsia="仿宋_GB2312" w:cs="仿宋_GB2312"/>
          <w:b w:val="0"/>
          <w:i w:val="0"/>
          <w:caps w:val="0"/>
          <w:color w:val="auto"/>
          <w:spacing w:val="0"/>
          <w:sz w:val="24"/>
          <w:szCs w:val="24"/>
        </w:rPr>
      </w:pPr>
    </w:p>
    <w:tbl>
      <w:tblPr>
        <w:tblStyle w:val="5"/>
        <w:tblW w:w="10427" w:type="dxa"/>
        <w:jc w:val="center"/>
        <w:tblLayout w:type="fixed"/>
        <w:tblCellMar>
          <w:top w:w="0" w:type="dxa"/>
          <w:left w:w="108" w:type="dxa"/>
          <w:bottom w:w="0" w:type="dxa"/>
          <w:right w:w="108" w:type="dxa"/>
        </w:tblCellMar>
      </w:tblPr>
      <w:tblGrid>
        <w:gridCol w:w="1204"/>
        <w:gridCol w:w="1194"/>
        <w:gridCol w:w="797"/>
        <w:gridCol w:w="514"/>
        <w:gridCol w:w="3524"/>
        <w:gridCol w:w="865"/>
        <w:gridCol w:w="965"/>
        <w:gridCol w:w="1351"/>
        <w:gridCol w:w="10"/>
        <w:gridCol w:w="3"/>
      </w:tblGrid>
      <w:tr>
        <w:tblPrEx>
          <w:tblCellMar>
            <w:top w:w="0" w:type="dxa"/>
            <w:left w:w="108" w:type="dxa"/>
            <w:bottom w:w="0" w:type="dxa"/>
            <w:right w:w="108" w:type="dxa"/>
          </w:tblCellMar>
        </w:tblPrEx>
        <w:trPr>
          <w:gridAfter w:val="2"/>
          <w:wAfter w:w="13" w:type="dxa"/>
          <w:trHeight w:val="300" w:hRule="atLeast"/>
          <w:jc w:val="center"/>
        </w:trPr>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项目名称</w:t>
            </w:r>
          </w:p>
        </w:tc>
        <w:tc>
          <w:tcPr>
            <w:tcW w:w="2505"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文艺创作与活动</w:t>
            </w:r>
          </w:p>
        </w:tc>
        <w:tc>
          <w:tcPr>
            <w:tcW w:w="35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实施单位</w:t>
            </w:r>
          </w:p>
        </w:tc>
        <w:tc>
          <w:tcPr>
            <w:tcW w:w="3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深圳市福田区文学艺术界联合会</w:t>
            </w:r>
          </w:p>
        </w:tc>
      </w:tr>
      <w:tr>
        <w:tblPrEx>
          <w:tblCellMar>
            <w:top w:w="0" w:type="dxa"/>
            <w:left w:w="108" w:type="dxa"/>
            <w:bottom w:w="0" w:type="dxa"/>
            <w:right w:w="108" w:type="dxa"/>
          </w:tblCellMar>
        </w:tblPrEx>
        <w:trPr>
          <w:gridAfter w:val="2"/>
          <w:wAfter w:w="13" w:type="dxa"/>
          <w:trHeight w:val="300" w:hRule="atLeast"/>
          <w:jc w:val="center"/>
        </w:trPr>
        <w:tc>
          <w:tcPr>
            <w:tcW w:w="1204"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项目资金（万元）</w:t>
            </w:r>
          </w:p>
        </w:tc>
        <w:tc>
          <w:tcPr>
            <w:tcW w:w="2505" w:type="dxa"/>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财政拨款预算数（A）</w:t>
            </w:r>
          </w:p>
        </w:tc>
        <w:tc>
          <w:tcPr>
            <w:tcW w:w="352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r>
              <w:rPr>
                <w:rFonts w:hint="eastAsia" w:ascii="宋体" w:hAnsi="宋体" w:eastAsia="宋体" w:cs="Times New Roman"/>
                <w:color w:val="auto"/>
                <w:kern w:val="0"/>
                <w:sz w:val="20"/>
                <w:szCs w:val="20"/>
              </w:rPr>
              <w:t>财政拨款执行数（</w:t>
            </w:r>
            <w:r>
              <w:rPr>
                <w:rFonts w:ascii="Times New Roman" w:hAnsi="Times New Roman" w:eastAsia="宋体" w:cs="Times New Roman"/>
                <w:color w:val="auto"/>
                <w:kern w:val="0"/>
                <w:sz w:val="20"/>
                <w:szCs w:val="20"/>
              </w:rPr>
              <w:t>B</w:t>
            </w:r>
            <w:r>
              <w:rPr>
                <w:rFonts w:hint="eastAsia" w:ascii="宋体" w:hAnsi="宋体" w:eastAsia="宋体" w:cs="Times New Roman"/>
                <w:color w:val="auto"/>
                <w:kern w:val="0"/>
                <w:sz w:val="20"/>
                <w:szCs w:val="20"/>
              </w:rPr>
              <w:t>）</w:t>
            </w:r>
          </w:p>
        </w:tc>
        <w:tc>
          <w:tcPr>
            <w:tcW w:w="3181"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r>
              <w:rPr>
                <w:rFonts w:hint="eastAsia" w:ascii="宋体" w:hAnsi="宋体" w:eastAsia="宋体" w:cs="Times New Roman"/>
                <w:color w:val="auto"/>
                <w:kern w:val="0"/>
                <w:sz w:val="20"/>
                <w:szCs w:val="20"/>
              </w:rPr>
              <w:t>执行率（</w:t>
            </w:r>
            <w:r>
              <w:rPr>
                <w:rFonts w:ascii="Times New Roman" w:hAnsi="Times New Roman" w:eastAsia="宋体" w:cs="Times New Roman"/>
                <w:color w:val="auto"/>
                <w:kern w:val="0"/>
                <w:sz w:val="20"/>
                <w:szCs w:val="20"/>
              </w:rPr>
              <w:t>B/A</w:t>
            </w:r>
            <w:r>
              <w:rPr>
                <w:rFonts w:hint="eastAsia" w:ascii="宋体" w:hAnsi="宋体" w:eastAsia="宋体" w:cs="Times New Roman"/>
                <w:color w:val="auto"/>
                <w:kern w:val="0"/>
                <w:sz w:val="20"/>
                <w:szCs w:val="20"/>
              </w:rPr>
              <w:t>）</w:t>
            </w:r>
          </w:p>
        </w:tc>
      </w:tr>
      <w:tr>
        <w:tblPrEx>
          <w:tblCellMar>
            <w:top w:w="0" w:type="dxa"/>
            <w:left w:w="108" w:type="dxa"/>
            <w:bottom w:w="0" w:type="dxa"/>
            <w:right w:w="108" w:type="dxa"/>
          </w:tblCellMar>
        </w:tblPrEx>
        <w:trPr>
          <w:gridAfter w:val="2"/>
          <w:wAfter w:w="13" w:type="dxa"/>
          <w:trHeight w:val="300" w:hRule="atLeast"/>
          <w:jc w:val="center"/>
        </w:trPr>
        <w:tc>
          <w:tcPr>
            <w:tcW w:w="120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p>
        </w:tc>
        <w:tc>
          <w:tcPr>
            <w:tcW w:w="250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0"/>
                <w:szCs w:val="20"/>
                <w:lang w:val="en-US" w:eastAsia="zh-CN"/>
              </w:rPr>
            </w:pPr>
            <w:r>
              <w:rPr>
                <w:rFonts w:hint="eastAsia" w:ascii="Times New Roman" w:hAnsi="Times New Roman" w:eastAsia="宋体" w:cs="Times New Roman"/>
                <w:color w:val="auto"/>
                <w:kern w:val="0"/>
                <w:sz w:val="20"/>
                <w:szCs w:val="20"/>
                <w:lang w:val="en-US" w:eastAsia="zh-CN"/>
              </w:rPr>
              <w:t>188</w:t>
            </w:r>
          </w:p>
        </w:tc>
        <w:tc>
          <w:tcPr>
            <w:tcW w:w="352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auto"/>
                <w:kern w:val="0"/>
                <w:sz w:val="20"/>
                <w:szCs w:val="20"/>
                <w:lang w:val="en-US" w:eastAsia="zh-CN"/>
              </w:rPr>
            </w:pPr>
            <w:r>
              <w:rPr>
                <w:rFonts w:hint="eastAsia" w:ascii="Times New Roman" w:hAnsi="Times New Roman" w:eastAsia="宋体" w:cs="Times New Roman"/>
                <w:color w:val="auto"/>
                <w:kern w:val="0"/>
                <w:sz w:val="20"/>
                <w:szCs w:val="20"/>
                <w:lang w:val="en-US" w:eastAsia="zh-CN"/>
              </w:rPr>
              <w:t>188</w:t>
            </w:r>
          </w:p>
        </w:tc>
        <w:tc>
          <w:tcPr>
            <w:tcW w:w="3181"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102.13%</w:t>
            </w:r>
          </w:p>
        </w:tc>
      </w:tr>
      <w:tr>
        <w:tblPrEx>
          <w:tblCellMar>
            <w:top w:w="0" w:type="dxa"/>
            <w:left w:w="108" w:type="dxa"/>
            <w:bottom w:w="0" w:type="dxa"/>
            <w:right w:w="108" w:type="dxa"/>
          </w:tblCellMar>
        </w:tblPrEx>
        <w:trPr>
          <w:gridAfter w:val="2"/>
          <w:wAfter w:w="13" w:type="dxa"/>
          <w:trHeight w:val="493" w:hRule="atLeast"/>
          <w:jc w:val="center"/>
        </w:trPr>
        <w:tc>
          <w:tcPr>
            <w:tcW w:w="12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绩效指标</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绩效内容</w:t>
            </w:r>
          </w:p>
        </w:tc>
        <w:tc>
          <w:tcPr>
            <w:tcW w:w="13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绩效指标</w:t>
            </w:r>
          </w:p>
        </w:tc>
        <w:tc>
          <w:tcPr>
            <w:tcW w:w="3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指标内容</w:t>
            </w:r>
          </w:p>
        </w:tc>
        <w:tc>
          <w:tcPr>
            <w:tcW w:w="8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目标值</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目标完成情况</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未完成原因及改进措施</w:t>
            </w:r>
          </w:p>
        </w:tc>
      </w:tr>
      <w:tr>
        <w:tblPrEx>
          <w:tblCellMar>
            <w:top w:w="0" w:type="dxa"/>
            <w:left w:w="108" w:type="dxa"/>
            <w:bottom w:w="0" w:type="dxa"/>
            <w:right w:w="108" w:type="dxa"/>
          </w:tblCellMar>
        </w:tblPrEx>
        <w:trPr>
          <w:gridAfter w:val="2"/>
          <w:wAfter w:w="13" w:type="dxa"/>
          <w:trHeight w:val="2200" w:hRule="atLeast"/>
          <w:jc w:val="center"/>
        </w:trPr>
        <w:tc>
          <w:tcPr>
            <w:tcW w:w="1204"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right="-313" w:rightChars="-149"/>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绩效指标</w:t>
            </w:r>
          </w:p>
        </w:tc>
        <w:tc>
          <w:tcPr>
            <w:tcW w:w="11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产出</w:t>
            </w:r>
          </w:p>
        </w:tc>
        <w:tc>
          <w:tcPr>
            <w:tcW w:w="1311" w:type="dxa"/>
            <w:gridSpan w:val="2"/>
            <w:vMerge w:val="restart"/>
            <w:tcBorders>
              <w:top w:val="nil"/>
              <w:left w:val="nil"/>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数量</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开展了《村城记》第二期艺术创作计划，选取了岗厦村为采写对象，积极配合区委区政府的中心工作，发挥福田艺术人才的资源优势，认真策划举办主题性展览及活动</w:t>
            </w:r>
            <w:r>
              <w:rPr>
                <w:rFonts w:hint="eastAsia" w:ascii="Times New Roman" w:hAnsi="Times New Roman" w:eastAsia="宋体" w:cs="Times New Roman"/>
                <w:color w:val="auto"/>
                <w:kern w:val="0"/>
                <w:sz w:val="20"/>
                <w:szCs w:val="20"/>
                <w:lang w:eastAsia="zh-CN"/>
              </w:rPr>
              <w:t>，此项目工作时长一年。</w:t>
            </w:r>
            <w:r>
              <w:rPr>
                <w:rFonts w:hint="eastAsia" w:ascii="Times New Roman" w:hAnsi="Times New Roman" w:eastAsia="宋体" w:cs="Times New Roman"/>
                <w:color w:val="auto"/>
                <w:kern w:val="0"/>
                <w:sz w:val="20"/>
                <w:szCs w:val="20"/>
              </w:rPr>
              <w:t>举办“筑我长城、复兴中华”——福田区庆祝中国人民解放军建军90周年暨香港回归20周年大型艺术作品展</w:t>
            </w:r>
            <w:r>
              <w:rPr>
                <w:rFonts w:hint="eastAsia" w:ascii="Times New Roman" w:hAnsi="Times New Roman" w:eastAsia="宋体" w:cs="Times New Roman"/>
                <w:color w:val="auto"/>
                <w:kern w:val="0"/>
                <w:sz w:val="20"/>
                <w:szCs w:val="20"/>
                <w:lang w:eastAsia="zh-CN"/>
              </w:rPr>
              <w:t>，此活动时长半年</w:t>
            </w:r>
            <w:r>
              <w:rPr>
                <w:rFonts w:hint="eastAsia" w:ascii="Times New Roman" w:hAnsi="Times New Roman" w:eastAsia="宋体" w:cs="Times New Roman"/>
                <w:color w:val="auto"/>
                <w:kern w:val="0"/>
                <w:sz w:val="20"/>
                <w:szCs w:val="20"/>
              </w:rPr>
              <w:t>。；举办“深耕福田，广种福祉”——“国画福田喜迎党的十九大艺术作品展</w:t>
            </w:r>
            <w:r>
              <w:rPr>
                <w:rFonts w:hint="eastAsia" w:ascii="Times New Roman" w:hAnsi="Times New Roman" w:eastAsia="宋体" w:cs="Times New Roman"/>
                <w:color w:val="auto"/>
                <w:kern w:val="0"/>
                <w:sz w:val="20"/>
                <w:szCs w:val="20"/>
                <w:lang w:eastAsia="zh-CN"/>
              </w:rPr>
              <w:t>，此活动时长半年</w:t>
            </w:r>
            <w:r>
              <w:rPr>
                <w:rFonts w:hint="eastAsia" w:ascii="Times New Roman" w:hAnsi="Times New Roman" w:eastAsia="宋体" w:cs="Times New Roman"/>
                <w:color w:val="auto"/>
                <w:kern w:val="0"/>
                <w:sz w:val="20"/>
                <w:szCs w:val="20"/>
              </w:rPr>
              <w:t>。</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0"/>
                <w:szCs w:val="20"/>
                <w:lang w:eastAsia="zh-CN"/>
              </w:rPr>
            </w:pPr>
            <w:r>
              <w:rPr>
                <w:rFonts w:hint="eastAsia" w:ascii="Times New Roman" w:hAnsi="Times New Roman" w:eastAsia="宋体" w:cs="Times New Roman"/>
                <w:color w:val="auto"/>
                <w:kern w:val="0"/>
                <w:sz w:val="20"/>
                <w:szCs w:val="20"/>
                <w:lang w:eastAsia="zh-CN"/>
              </w:rPr>
              <w:t>参加人数合计约</w:t>
            </w:r>
            <w:r>
              <w:rPr>
                <w:rFonts w:hint="eastAsia" w:ascii="Times New Roman" w:hAnsi="Times New Roman" w:eastAsia="宋体" w:cs="Times New Roman"/>
                <w:color w:val="auto"/>
                <w:kern w:val="0"/>
                <w:sz w:val="20"/>
                <w:szCs w:val="20"/>
                <w:lang w:val="en-US" w:eastAsia="zh-CN"/>
              </w:rPr>
              <w:t>1000人</w:t>
            </w:r>
          </w:p>
        </w:tc>
        <w:tc>
          <w:tcPr>
            <w:tcW w:w="96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0"/>
                <w:szCs w:val="20"/>
                <w:lang w:val="en-US" w:eastAsia="zh-CN"/>
              </w:rPr>
            </w:pPr>
            <w:r>
              <w:rPr>
                <w:rFonts w:hint="eastAsia" w:ascii="Times New Roman" w:hAnsi="Times New Roman" w:eastAsia="宋体" w:cs="Times New Roman"/>
                <w:color w:val="auto"/>
                <w:kern w:val="0"/>
                <w:sz w:val="20"/>
                <w:szCs w:val="20"/>
                <w:lang w:val="en-US" w:eastAsia="zh-CN"/>
              </w:rPr>
              <w:t>100%</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gridAfter w:val="2"/>
          <w:wAfter w:w="13" w:type="dxa"/>
          <w:trHeight w:val="3616"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311" w:type="dxa"/>
            <w:gridSpan w:val="2"/>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p>
        </w:tc>
        <w:tc>
          <w:tcPr>
            <w:tcW w:w="3524" w:type="dxa"/>
            <w:tcBorders>
              <w:top w:val="nil"/>
              <w:left w:val="nil"/>
              <w:bottom w:val="single" w:color="auto" w:sz="4" w:space="0"/>
              <w:right w:val="single" w:color="auto" w:sz="4" w:space="0"/>
            </w:tcBorders>
            <w:shd w:val="clear" w:color="auto" w:fill="auto"/>
            <w:vAlign w:val="top"/>
          </w:tcPr>
          <w:p>
            <w:pPr>
              <w:widowControl/>
              <w:jc w:val="left"/>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本单位继续推出各种重点品牌项目，</w:t>
            </w:r>
            <w:r>
              <w:rPr>
                <w:rFonts w:hint="eastAsia" w:ascii="Times New Roman" w:hAnsi="Times New Roman" w:eastAsia="宋体" w:cs="Times New Roman"/>
                <w:color w:val="auto"/>
                <w:kern w:val="0"/>
                <w:sz w:val="20"/>
                <w:szCs w:val="20"/>
                <w:lang w:eastAsia="zh-CN"/>
              </w:rPr>
              <w:t>如</w:t>
            </w:r>
            <w:r>
              <w:rPr>
                <w:rFonts w:hint="eastAsia" w:ascii="Times New Roman" w:hAnsi="Times New Roman" w:eastAsia="宋体" w:cs="Times New Roman"/>
                <w:color w:val="auto"/>
                <w:kern w:val="0"/>
                <w:sz w:val="20"/>
                <w:szCs w:val="20"/>
              </w:rPr>
              <w:t>第二届“福田好故事”</w:t>
            </w:r>
            <w:r>
              <w:rPr>
                <w:rFonts w:hint="eastAsia" w:ascii="Times New Roman" w:hAnsi="Times New Roman" w:eastAsia="宋体" w:cs="Times New Roman"/>
                <w:color w:val="auto"/>
                <w:kern w:val="0"/>
                <w:sz w:val="20"/>
                <w:szCs w:val="20"/>
                <w:lang w:eastAsia="zh-CN"/>
              </w:rPr>
              <w:t>出版，此活动时长</w:t>
            </w:r>
            <w:r>
              <w:rPr>
                <w:rFonts w:hint="eastAsia" w:ascii="Times New Roman" w:hAnsi="Times New Roman" w:eastAsia="宋体" w:cs="Times New Roman"/>
                <w:color w:val="auto"/>
                <w:kern w:val="0"/>
                <w:sz w:val="20"/>
                <w:szCs w:val="20"/>
                <w:lang w:val="en-US" w:eastAsia="zh-CN"/>
              </w:rPr>
              <w:t>2个月。</w:t>
            </w:r>
            <w:r>
              <w:rPr>
                <w:rFonts w:hint="eastAsia" w:ascii="Times New Roman" w:hAnsi="Times New Roman" w:eastAsia="宋体" w:cs="Times New Roman"/>
                <w:color w:val="auto"/>
                <w:kern w:val="0"/>
                <w:sz w:val="20"/>
                <w:szCs w:val="20"/>
                <w:lang w:eastAsia="zh-CN"/>
              </w:rPr>
              <w:t>；</w:t>
            </w:r>
            <w:r>
              <w:rPr>
                <w:rFonts w:hint="eastAsia" w:ascii="Times New Roman" w:hAnsi="Times New Roman" w:eastAsia="宋体" w:cs="Times New Roman"/>
                <w:color w:val="auto"/>
                <w:kern w:val="0"/>
                <w:sz w:val="20"/>
                <w:szCs w:val="20"/>
              </w:rPr>
              <w:t>第三届“五朵金花”</w:t>
            </w:r>
            <w:r>
              <w:rPr>
                <w:rFonts w:hint="eastAsia" w:ascii="Times New Roman" w:hAnsi="Times New Roman" w:eastAsia="宋体" w:cs="Times New Roman"/>
                <w:color w:val="auto"/>
                <w:kern w:val="0"/>
                <w:sz w:val="20"/>
                <w:szCs w:val="20"/>
                <w:lang w:eastAsia="zh-CN"/>
              </w:rPr>
              <w:t>，此活动时长</w:t>
            </w:r>
            <w:r>
              <w:rPr>
                <w:rFonts w:hint="eastAsia" w:ascii="Times New Roman" w:hAnsi="Times New Roman" w:eastAsia="宋体" w:cs="Times New Roman"/>
                <w:color w:val="auto"/>
                <w:kern w:val="0"/>
                <w:sz w:val="20"/>
                <w:szCs w:val="20"/>
                <w:lang w:val="en-US" w:eastAsia="zh-CN"/>
              </w:rPr>
              <w:t>1.5个月。</w:t>
            </w:r>
            <w:r>
              <w:rPr>
                <w:rFonts w:hint="eastAsia" w:ascii="Times New Roman" w:hAnsi="Times New Roman" w:eastAsia="宋体" w:cs="Times New Roman"/>
                <w:color w:val="auto"/>
                <w:kern w:val="0"/>
                <w:sz w:val="20"/>
                <w:szCs w:val="20"/>
                <w:lang w:eastAsia="zh-CN"/>
              </w:rPr>
              <w:t>红岭中学园岭部创作</w:t>
            </w:r>
            <w:r>
              <w:rPr>
                <w:rFonts w:hint="eastAsia" w:ascii="Times New Roman" w:hAnsi="Times New Roman" w:eastAsia="宋体" w:cs="Times New Roman"/>
                <w:color w:val="auto"/>
                <w:kern w:val="0"/>
                <w:sz w:val="20"/>
                <w:szCs w:val="20"/>
              </w:rPr>
              <w:t>基地挂牌</w:t>
            </w:r>
            <w:r>
              <w:rPr>
                <w:rFonts w:hint="eastAsia" w:ascii="Times New Roman" w:hAnsi="Times New Roman" w:eastAsia="宋体" w:cs="Times New Roman"/>
                <w:color w:val="auto"/>
                <w:kern w:val="0"/>
                <w:sz w:val="20"/>
                <w:szCs w:val="20"/>
                <w:lang w:eastAsia="zh-CN"/>
              </w:rPr>
              <w:t>，此活动时长</w:t>
            </w:r>
            <w:r>
              <w:rPr>
                <w:rFonts w:hint="eastAsia" w:ascii="Times New Roman" w:hAnsi="Times New Roman" w:eastAsia="宋体" w:cs="Times New Roman"/>
                <w:color w:val="auto"/>
                <w:kern w:val="0"/>
                <w:sz w:val="20"/>
                <w:szCs w:val="20"/>
                <w:lang w:val="en-US" w:eastAsia="zh-CN"/>
              </w:rPr>
              <w:t>1个月</w:t>
            </w:r>
            <w:r>
              <w:rPr>
                <w:rFonts w:hint="eastAsia" w:ascii="Times New Roman" w:hAnsi="Times New Roman" w:eastAsia="宋体" w:cs="Times New Roman"/>
                <w:color w:val="auto"/>
                <w:kern w:val="0"/>
                <w:sz w:val="20"/>
                <w:szCs w:val="20"/>
              </w:rPr>
              <w:t>。举办文化惠民活动。如：举办《第六届“关爱满福田•幸福进万家”---百名书法家进社区送春联活动》，让文化惠民品牌走进千家万户</w:t>
            </w:r>
            <w:r>
              <w:rPr>
                <w:rFonts w:hint="eastAsia" w:ascii="Times New Roman" w:hAnsi="Times New Roman" w:eastAsia="宋体" w:cs="Times New Roman"/>
                <w:color w:val="auto"/>
                <w:kern w:val="0"/>
                <w:sz w:val="20"/>
                <w:szCs w:val="20"/>
                <w:lang w:eastAsia="zh-CN"/>
              </w:rPr>
              <w:t>，此活动时长</w:t>
            </w:r>
            <w:r>
              <w:rPr>
                <w:rFonts w:hint="eastAsia" w:ascii="Times New Roman" w:hAnsi="Times New Roman" w:eastAsia="宋体" w:cs="Times New Roman"/>
                <w:color w:val="auto"/>
                <w:kern w:val="0"/>
                <w:sz w:val="20"/>
                <w:szCs w:val="20"/>
                <w:lang w:val="en-US" w:eastAsia="zh-CN"/>
              </w:rPr>
              <w:t>2个月。</w:t>
            </w:r>
            <w:r>
              <w:rPr>
                <w:rFonts w:hint="eastAsia" w:ascii="Times New Roman" w:hAnsi="Times New Roman" w:eastAsia="宋体" w:cs="Times New Roman"/>
                <w:color w:val="auto"/>
                <w:kern w:val="0"/>
                <w:sz w:val="20"/>
                <w:szCs w:val="20"/>
                <w:lang w:eastAsia="zh-CN"/>
              </w:rPr>
              <w:t>如“文心行动”系列活动时长</w:t>
            </w:r>
            <w:r>
              <w:rPr>
                <w:rFonts w:hint="eastAsia" w:ascii="Times New Roman" w:hAnsi="Times New Roman" w:eastAsia="宋体" w:cs="Times New Roman"/>
                <w:color w:val="auto"/>
                <w:kern w:val="0"/>
                <w:sz w:val="20"/>
                <w:szCs w:val="20"/>
                <w:lang w:val="en-US" w:eastAsia="zh-CN"/>
              </w:rPr>
              <w:t>1年</w:t>
            </w:r>
            <w:r>
              <w:rPr>
                <w:rFonts w:hint="eastAsia" w:ascii="Times New Roman" w:hAnsi="Times New Roman" w:eastAsia="宋体" w:cs="Times New Roman"/>
                <w:color w:val="auto"/>
                <w:kern w:val="0"/>
                <w:sz w:val="20"/>
                <w:szCs w:val="20"/>
                <w:lang w:eastAsia="zh-CN"/>
              </w:rPr>
              <w:t>如：客家山歌进社区、人工智能时代人文学的新意义、</w:t>
            </w:r>
            <w:r>
              <w:rPr>
                <w:rFonts w:hint="eastAsia" w:ascii="Times New Roman" w:hAnsi="Times New Roman" w:eastAsia="宋体" w:cs="Times New Roman"/>
                <w:color w:val="auto"/>
                <w:kern w:val="0"/>
                <w:sz w:val="20"/>
                <w:szCs w:val="20"/>
              </w:rPr>
              <w:t>“金儒鸣玉”即兴演奏和即兴吟唱活动，邀请了著名古琴演奏家李祥霆教授进行授课及即兴演奏</w:t>
            </w:r>
            <w:r>
              <w:rPr>
                <w:rFonts w:hint="eastAsia" w:ascii="Times New Roman" w:hAnsi="Times New Roman" w:eastAsia="宋体" w:cs="Times New Roman"/>
                <w:color w:val="auto"/>
                <w:kern w:val="0"/>
                <w:sz w:val="20"/>
                <w:szCs w:val="20"/>
                <w:lang w:eastAsia="zh-CN"/>
              </w:rPr>
              <w:t>、</w:t>
            </w:r>
            <w:r>
              <w:rPr>
                <w:rFonts w:hint="eastAsia" w:ascii="Times New Roman" w:hAnsi="Times New Roman" w:eastAsia="宋体" w:cs="Times New Roman"/>
                <w:color w:val="auto"/>
                <w:kern w:val="0"/>
                <w:sz w:val="20"/>
                <w:szCs w:val="20"/>
              </w:rPr>
              <w:t>《紫荆花红漾港深》等</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0"/>
                <w:szCs w:val="20"/>
                <w:lang w:eastAsia="zh-CN"/>
              </w:rPr>
            </w:pPr>
            <w:r>
              <w:rPr>
                <w:rFonts w:hint="eastAsia" w:ascii="Times New Roman" w:hAnsi="Times New Roman" w:eastAsia="宋体" w:cs="Times New Roman"/>
                <w:color w:val="auto"/>
                <w:kern w:val="0"/>
                <w:sz w:val="20"/>
                <w:szCs w:val="20"/>
                <w:lang w:eastAsia="zh-CN"/>
              </w:rPr>
              <w:t>参加人数合计约</w:t>
            </w:r>
            <w:r>
              <w:rPr>
                <w:rFonts w:hint="eastAsia" w:ascii="Times New Roman" w:hAnsi="Times New Roman" w:eastAsia="宋体" w:cs="Times New Roman"/>
                <w:color w:val="auto"/>
                <w:kern w:val="0"/>
                <w:sz w:val="20"/>
                <w:szCs w:val="20"/>
                <w:lang w:val="en-US" w:eastAsia="zh-CN"/>
              </w:rPr>
              <w:t>800人</w:t>
            </w:r>
          </w:p>
        </w:tc>
        <w:tc>
          <w:tcPr>
            <w:tcW w:w="96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0"/>
                <w:szCs w:val="20"/>
                <w:lang w:val="en-US" w:eastAsia="zh-CN"/>
              </w:rPr>
            </w:pPr>
            <w:r>
              <w:rPr>
                <w:rFonts w:hint="eastAsia" w:ascii="Times New Roman" w:hAnsi="Times New Roman" w:eastAsia="宋体" w:cs="Times New Roman"/>
                <w:color w:val="auto"/>
                <w:kern w:val="0"/>
                <w:sz w:val="20"/>
                <w:szCs w:val="20"/>
                <w:lang w:val="en-US" w:eastAsia="zh-CN"/>
              </w:rPr>
              <w:t>100%</w:t>
            </w:r>
          </w:p>
        </w:tc>
        <w:tc>
          <w:tcPr>
            <w:tcW w:w="1351" w:type="dxa"/>
            <w:vMerge w:val="restart"/>
            <w:tcBorders>
              <w:top w:val="nil"/>
              <w:left w:val="nil"/>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gridAfter w:val="2"/>
          <w:wAfter w:w="13" w:type="dxa"/>
          <w:trHeight w:val="90"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311" w:type="dxa"/>
            <w:gridSpan w:val="2"/>
            <w:vMerge w:val="restart"/>
            <w:tcBorders>
              <w:top w:val="nil"/>
              <w:left w:val="nil"/>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质量</w:t>
            </w: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文艺作品质量</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0"/>
                <w:szCs w:val="20"/>
                <w:lang w:eastAsia="zh-CN"/>
              </w:rPr>
            </w:pPr>
            <w:r>
              <w:rPr>
                <w:rFonts w:hint="eastAsia" w:ascii="Times New Roman" w:hAnsi="Times New Roman" w:eastAsia="宋体" w:cs="Times New Roman"/>
                <w:color w:val="auto"/>
                <w:kern w:val="0"/>
                <w:sz w:val="20"/>
                <w:szCs w:val="20"/>
                <w:lang w:eastAsia="zh-CN"/>
              </w:rPr>
              <w:t>良好</w:t>
            </w:r>
          </w:p>
        </w:tc>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良好</w:t>
            </w:r>
          </w:p>
        </w:tc>
        <w:tc>
          <w:tcPr>
            <w:tcW w:w="1351"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gridAfter w:val="2"/>
          <w:wAfter w:w="13" w:type="dxa"/>
          <w:trHeight w:val="403"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311" w:type="dxa"/>
            <w:gridSpan w:val="2"/>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p>
        </w:tc>
        <w:tc>
          <w:tcPr>
            <w:tcW w:w="35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参与专家质量</w:t>
            </w:r>
          </w:p>
        </w:tc>
        <w:tc>
          <w:tcPr>
            <w:tcW w:w="8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0"/>
                <w:szCs w:val="20"/>
                <w:lang w:eastAsia="zh-CN"/>
              </w:rPr>
            </w:pPr>
            <w:r>
              <w:rPr>
                <w:rFonts w:hint="eastAsia" w:ascii="Times New Roman" w:hAnsi="Times New Roman" w:eastAsia="宋体" w:cs="Times New Roman"/>
                <w:color w:val="auto"/>
                <w:kern w:val="0"/>
                <w:sz w:val="20"/>
                <w:szCs w:val="20"/>
                <w:lang w:eastAsia="zh-CN"/>
              </w:rPr>
              <w:t>良好</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良好</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gridAfter w:val="2"/>
          <w:wAfter w:w="13" w:type="dxa"/>
          <w:trHeight w:val="403"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311" w:type="dxa"/>
            <w:gridSpan w:val="2"/>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社会公众参与</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lang w:eastAsia="zh-CN"/>
              </w:rPr>
              <w:t>极好</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良好</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gridAfter w:val="2"/>
          <w:wAfter w:w="13" w:type="dxa"/>
          <w:trHeight w:val="403"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311"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群众参与积极性</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0"/>
                <w:szCs w:val="20"/>
                <w:lang w:eastAsia="zh-CN"/>
              </w:rPr>
            </w:pPr>
            <w:r>
              <w:rPr>
                <w:rFonts w:hint="eastAsia" w:ascii="Times New Roman" w:hAnsi="Times New Roman" w:eastAsia="宋体" w:cs="Times New Roman"/>
                <w:color w:val="auto"/>
                <w:kern w:val="0"/>
                <w:sz w:val="20"/>
                <w:szCs w:val="20"/>
                <w:lang w:eastAsia="zh-CN"/>
              </w:rPr>
              <w:t>极好</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良好</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gridAfter w:val="2"/>
          <w:wAfter w:w="13" w:type="dxa"/>
          <w:trHeight w:val="403"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311" w:type="dxa"/>
            <w:gridSpan w:val="2"/>
            <w:vMerge w:val="restart"/>
            <w:tcBorders>
              <w:top w:val="nil"/>
              <w:left w:val="nil"/>
              <w:right w:val="single" w:color="auto" w:sz="4" w:space="0"/>
            </w:tcBorders>
            <w:shd w:val="clear" w:color="auto" w:fill="auto"/>
            <w:vAlign w:val="center"/>
          </w:tcPr>
          <w:p>
            <w:pPr>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工作</w:t>
            </w:r>
            <w:r>
              <w:rPr>
                <w:rFonts w:hint="eastAsia" w:ascii="宋体" w:hAnsi="宋体" w:eastAsia="宋体" w:cs="Times New Roman"/>
                <w:color w:val="auto"/>
                <w:kern w:val="0"/>
                <w:sz w:val="20"/>
                <w:szCs w:val="20"/>
                <w:lang w:eastAsia="zh-CN"/>
              </w:rPr>
              <w:t>时</w:t>
            </w:r>
            <w:r>
              <w:rPr>
                <w:rFonts w:hint="eastAsia" w:ascii="宋体" w:hAnsi="宋体" w:eastAsia="宋体" w:cs="Times New Roman"/>
                <w:color w:val="auto"/>
                <w:kern w:val="0"/>
                <w:sz w:val="20"/>
                <w:szCs w:val="20"/>
              </w:rPr>
              <w:t>效</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p>
        </w:tc>
        <w:tc>
          <w:tcPr>
            <w:tcW w:w="865" w:type="dxa"/>
            <w:vMerge w:val="restart"/>
            <w:tcBorders>
              <w:top w:val="nil"/>
              <w:left w:val="nil"/>
              <w:right w:val="single" w:color="auto" w:sz="4" w:space="0"/>
            </w:tcBorders>
            <w:shd w:val="clear" w:color="auto" w:fill="auto"/>
            <w:vAlign w:val="center"/>
          </w:tcPr>
          <w:p>
            <w:pPr>
              <w:widowControl/>
              <w:jc w:val="center"/>
              <w:rPr>
                <w:rFonts w:hint="eastAsia" w:ascii="Times New Roman" w:hAnsi="Times New Roman" w:eastAsia="宋体" w:cs="Times New Roman"/>
                <w:color w:val="auto"/>
                <w:kern w:val="0"/>
                <w:sz w:val="20"/>
                <w:szCs w:val="20"/>
                <w:lang w:eastAsia="zh-CN"/>
              </w:rPr>
            </w:pPr>
            <w:r>
              <w:rPr>
                <w:rFonts w:hint="eastAsia" w:ascii="Times New Roman" w:hAnsi="Times New Roman" w:eastAsia="宋体" w:cs="Times New Roman"/>
                <w:color w:val="auto"/>
                <w:kern w:val="0"/>
                <w:sz w:val="20"/>
                <w:szCs w:val="20"/>
                <w:lang w:eastAsia="zh-CN"/>
              </w:rPr>
              <w:t>一年</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良好</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gridAfter w:val="2"/>
          <w:wAfter w:w="13" w:type="dxa"/>
          <w:trHeight w:val="403"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311" w:type="dxa"/>
            <w:gridSpan w:val="2"/>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auto"/>
                <w:kern w:val="0"/>
                <w:sz w:val="20"/>
                <w:szCs w:val="20"/>
              </w:rPr>
            </w:pP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p>
        </w:tc>
        <w:tc>
          <w:tcPr>
            <w:tcW w:w="865"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良好</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gridAfter w:val="2"/>
          <w:wAfter w:w="13" w:type="dxa"/>
          <w:trHeight w:val="403"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311"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p>
        </w:tc>
        <w:tc>
          <w:tcPr>
            <w:tcW w:w="865"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良好</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gridAfter w:val="2"/>
          <w:wAfter w:w="13" w:type="dxa"/>
          <w:trHeight w:val="403"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效益</w:t>
            </w:r>
          </w:p>
        </w:tc>
        <w:tc>
          <w:tcPr>
            <w:tcW w:w="13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服务满意度</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9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gridAfter w:val="2"/>
          <w:wAfter w:w="13" w:type="dxa"/>
          <w:trHeight w:val="403"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3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社会效益</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9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gridAfter w:val="2"/>
          <w:wAfter w:w="13" w:type="dxa"/>
          <w:trHeight w:val="403"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3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生态效益</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9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CellMar>
            <w:top w:w="0" w:type="dxa"/>
            <w:left w:w="108" w:type="dxa"/>
            <w:bottom w:w="0" w:type="dxa"/>
            <w:right w:w="108" w:type="dxa"/>
          </w:tblCellMar>
        </w:tblPrEx>
        <w:trPr>
          <w:gridAfter w:val="2"/>
          <w:wAfter w:w="13" w:type="dxa"/>
          <w:trHeight w:val="403"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0"/>
                <w:szCs w:val="20"/>
              </w:rPr>
            </w:pPr>
          </w:p>
        </w:tc>
        <w:tc>
          <w:tcPr>
            <w:tcW w:w="13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0"/>
                <w:szCs w:val="20"/>
              </w:rPr>
            </w:pPr>
            <w:r>
              <w:rPr>
                <w:rFonts w:hint="eastAsia" w:ascii="宋体" w:hAnsi="宋体" w:eastAsia="宋体" w:cs="Times New Roman"/>
                <w:color w:val="auto"/>
                <w:kern w:val="0"/>
                <w:sz w:val="20"/>
                <w:szCs w:val="20"/>
              </w:rPr>
              <w:t>经济效益</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9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195" w:type="dxa"/>
            <w:gridSpan w:val="3"/>
            <w:tcBorders>
              <w:top w:val="outset" w:color="000000" w:sz="6" w:space="0"/>
              <w:left w:val="outset" w:color="000000" w:sz="6" w:space="0"/>
              <w:bottom w:val="outset" w:color="000000" w:sz="6" w:space="0"/>
              <w:right w:val="outset" w:color="000000" w:sz="6" w:space="0"/>
            </w:tcBorders>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b w:val="0"/>
                <w:i w:val="0"/>
                <w:caps w:val="0"/>
                <w:color w:val="auto"/>
                <w:spacing w:val="0"/>
                <w:sz w:val="20"/>
                <w:szCs w:val="20"/>
              </w:rPr>
              <w:t>绩效自评综合得分</w:t>
            </w:r>
          </w:p>
        </w:tc>
        <w:tc>
          <w:tcPr>
            <w:tcW w:w="7232" w:type="dxa"/>
            <w:gridSpan w:val="7"/>
            <w:tcBorders>
              <w:top w:val="outset" w:color="000000" w:sz="6" w:space="0"/>
              <w:left w:val="outset" w:color="000000" w:sz="6" w:space="0"/>
              <w:bottom w:val="outset" w:color="000000" w:sz="6" w:space="0"/>
              <w:right w:val="outset" w:color="000000" w:sz="6" w:space="0"/>
            </w:tcBorders>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val="0"/>
                <w:i w:val="0"/>
                <w:caps w:val="0"/>
                <w:color w:val="auto"/>
                <w:spacing w:val="0"/>
                <w:sz w:val="20"/>
                <w:szCs w:val="20"/>
              </w:rPr>
              <w:t> </w:t>
            </w:r>
            <w:r>
              <w:rPr>
                <w:rFonts w:hint="eastAsia" w:ascii="仿宋_GB2312" w:hAnsi="仿宋_GB2312" w:eastAsia="仿宋_GB2312" w:cs="仿宋_GB2312"/>
                <w:b w:val="0"/>
                <w:i w:val="0"/>
                <w:caps w:val="0"/>
                <w:color w:val="auto"/>
                <w:spacing w:val="0"/>
                <w:sz w:val="20"/>
                <w:szCs w:val="20"/>
                <w:lang w:val="en-US" w:eastAsia="zh-CN"/>
              </w:rPr>
              <w:t>99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gridAfter w:val="1"/>
          <w:wAfter w:w="3" w:type="dxa"/>
          <w:trHeight w:val="2587" w:hRule="atLeast"/>
          <w:jc w:val="center"/>
        </w:trPr>
        <w:tc>
          <w:tcPr>
            <w:tcW w:w="10424" w:type="dxa"/>
            <w:gridSpan w:val="9"/>
            <w:tcBorders>
              <w:top w:val="outset" w:color="000000" w:sz="6" w:space="0"/>
              <w:left w:val="outset" w:color="000000" w:sz="6" w:space="0"/>
              <w:bottom w:val="outset" w:color="000000" w:sz="6" w:space="0"/>
              <w:right w:val="outset" w:color="000000" w:sz="6" w:space="0"/>
            </w:tcBorders>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val="0"/>
                <w:i w:val="0"/>
                <w:caps w:val="0"/>
                <w:color w:val="auto"/>
                <w:spacing w:val="0"/>
                <w:sz w:val="24"/>
                <w:szCs w:val="24"/>
              </w:rPr>
              <w:t>五、评价报告综述（文字部分）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b w:val="0"/>
                <w:i w:val="0"/>
                <w:caps w:val="0"/>
                <w:color w:val="auto"/>
                <w:spacing w:val="0"/>
                <w:sz w:val="20"/>
                <w:szCs w:val="20"/>
              </w:rPr>
              <w:t> </w:t>
            </w:r>
            <w:r>
              <w:rPr>
                <w:rFonts w:hint="eastAsia" w:ascii="仿宋_GB2312" w:hAnsi="仿宋_GB2312" w:eastAsia="仿宋_GB2312" w:cs="仿宋_GB2312"/>
                <w:b w:val="0"/>
                <w:i w:val="0"/>
                <w:caps w:val="0"/>
                <w:color w:val="auto"/>
                <w:spacing w:val="0"/>
                <w:sz w:val="20"/>
                <w:szCs w:val="20"/>
                <w:lang w:val="en-US" w:eastAsia="zh-CN"/>
              </w:rPr>
              <w:t xml:space="preserve">  </w:t>
            </w:r>
            <w:r>
              <w:rPr>
                <w:rFonts w:hint="eastAsia" w:ascii="Times New Roman" w:hAnsi="Times New Roman" w:eastAsia="宋体" w:cs="Times New Roman"/>
                <w:color w:val="auto"/>
                <w:kern w:val="0"/>
                <w:sz w:val="20"/>
                <w:szCs w:val="20"/>
              </w:rPr>
              <w:t>文艺创作与活动支出为艺术专题创作，艺术采风，文艺评论等经费。如：福田区文联通过组织区艺术骨干赴革命圣地贵州遵义进行采风，并与遵义市文联共同举办了笔会交流活动，促进了两地间的文化交流。该项活动由福田区文联主办，福田书画院及各艺术家协会、深圳市战旗文化传媒有限公司承办，活动组织福田区美术家协会及区其他艺术家协会、各书画社骨干共28人赴遵义市采风。活动以笔会交流座谈的形式开展。活动事前准备活动方案经副主席、主席审批，资金拨付合同、发票等凭证齐全，符合资金拨付、使用管理规定。项目预算金额14.5万元，实际支出14.5万元，符合预算、指出管理规定。该项活动通过赴遵义、赤水、荀坝等红军长征走过的红色革命之路，实地进行采风、艺术创作交流，激发艺术家的创作灵感，创作出主题鲜明的艺术作</w:t>
            </w:r>
            <w:r>
              <w:rPr>
                <w:rFonts w:hint="eastAsia" w:ascii="Times New Roman" w:hAnsi="Times New Roman" w:cs="Times New Roman"/>
                <w:color w:val="auto"/>
                <w:kern w:val="0"/>
                <w:sz w:val="20"/>
                <w:szCs w:val="20"/>
                <w:lang w:eastAsia="zh-CN"/>
              </w:rPr>
              <w:t>品</w:t>
            </w:r>
            <w:r>
              <w:rPr>
                <w:rFonts w:hint="eastAsia" w:ascii="Times New Roman" w:hAnsi="Times New Roman" w:eastAsia="宋体" w:cs="Times New Roman"/>
                <w:color w:val="auto"/>
                <w:kern w:val="0"/>
                <w:sz w:val="20"/>
                <w:szCs w:val="20"/>
              </w:rPr>
              <w:t>。</w:t>
            </w:r>
            <w:r>
              <w:rPr>
                <w:rFonts w:hint="eastAsia" w:ascii="仿宋_GB2312" w:hAnsi="仿宋_GB2312" w:eastAsia="仿宋_GB2312" w:cs="仿宋_GB2312"/>
                <w:b w:val="0"/>
                <w:i w:val="0"/>
                <w:caps w:val="0"/>
                <w:color w:val="auto"/>
                <w:spacing w:val="0"/>
                <w:sz w:val="20"/>
                <w:szCs w:val="2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_GB2312" w:hAnsi="仿宋_GB2312" w:eastAsia="仿宋_GB2312" w:cs="仿宋_GB2312"/>
                <w:b w:val="0"/>
                <w:i w:val="0"/>
                <w:caps w:val="0"/>
                <w:color w:val="auto"/>
                <w:spacing w:val="0"/>
                <w:sz w:val="24"/>
                <w:szCs w:val="24"/>
              </w:rPr>
            </w:pPr>
          </w:p>
        </w:tc>
      </w:tr>
    </w:tbl>
    <w:p>
      <w:pPr>
        <w:numPr>
          <w:ilvl w:val="0"/>
          <w:numId w:val="0"/>
        </w:numPr>
        <w:rPr>
          <w:rFonts w:hint="eastAsia" w:ascii="黑体" w:hAnsi="黑体" w:eastAsia="黑体"/>
          <w:color w:val="auto"/>
          <w:sz w:val="32"/>
          <w:szCs w:val="32"/>
          <w:highlight w:val="none"/>
          <w:lang w:val="en-US" w:eastAsia="zh-CN"/>
        </w:rPr>
      </w:pPr>
    </w:p>
    <w:p>
      <w:pPr>
        <w:numPr>
          <w:ilvl w:val="0"/>
          <w:numId w:val="0"/>
        </w:numPr>
        <w:rPr>
          <w:rFonts w:hint="eastAsia" w:ascii="黑体" w:hAnsi="黑体" w:eastAsia="黑体"/>
          <w:color w:val="auto"/>
          <w:sz w:val="32"/>
          <w:szCs w:val="32"/>
          <w:highlight w:val="none"/>
          <w:lang w:val="en-US" w:eastAsia="zh-CN"/>
        </w:rPr>
      </w:pPr>
    </w:p>
    <w:p>
      <w:pPr>
        <w:numPr>
          <w:ilvl w:val="0"/>
          <w:numId w:val="0"/>
        </w:numPr>
        <w:rPr>
          <w:rFonts w:hint="eastAsia" w:ascii="黑体" w:hAnsi="黑体" w:eastAsia="黑体"/>
          <w:color w:val="auto"/>
          <w:sz w:val="32"/>
          <w:szCs w:val="32"/>
          <w:highlight w:val="none"/>
          <w:lang w:val="en-US" w:eastAsia="zh-CN"/>
        </w:rPr>
      </w:pPr>
    </w:p>
    <w:tbl>
      <w:tblPr>
        <w:tblStyle w:val="5"/>
        <w:tblW w:w="11191" w:type="dxa"/>
        <w:jc w:val="center"/>
        <w:tblLayout w:type="fixed"/>
        <w:tblCellMar>
          <w:top w:w="0" w:type="dxa"/>
          <w:left w:w="108" w:type="dxa"/>
          <w:bottom w:w="0" w:type="dxa"/>
          <w:right w:w="108" w:type="dxa"/>
        </w:tblCellMar>
      </w:tblPr>
      <w:tblGrid>
        <w:gridCol w:w="234"/>
        <w:gridCol w:w="1264"/>
        <w:gridCol w:w="1209"/>
        <w:gridCol w:w="485"/>
        <w:gridCol w:w="884"/>
        <w:gridCol w:w="541"/>
        <w:gridCol w:w="2835"/>
        <w:gridCol w:w="569"/>
        <w:gridCol w:w="905"/>
        <w:gridCol w:w="925"/>
        <w:gridCol w:w="1340"/>
      </w:tblGrid>
      <w:tr>
        <w:tblPrEx>
          <w:tblCellMar>
            <w:top w:w="0" w:type="dxa"/>
            <w:left w:w="108" w:type="dxa"/>
            <w:bottom w:w="0" w:type="dxa"/>
            <w:right w:w="108" w:type="dxa"/>
          </w:tblCellMar>
        </w:tblPrEx>
        <w:trPr>
          <w:gridBefore w:val="1"/>
          <w:wBefore w:w="234" w:type="dxa"/>
          <w:trHeight w:val="300" w:hRule="atLeast"/>
          <w:jc w:val="center"/>
        </w:trPr>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2"/>
              </w:rPr>
            </w:pPr>
            <w:r>
              <w:rPr>
                <w:rFonts w:hint="eastAsia" w:ascii="宋体" w:hAnsi="宋体" w:eastAsia="宋体" w:cs="Times New Roman"/>
                <w:color w:val="auto"/>
                <w:kern w:val="0"/>
                <w:sz w:val="22"/>
              </w:rPr>
              <w:t>项目名称</w:t>
            </w:r>
          </w:p>
        </w:tc>
        <w:tc>
          <w:tcPr>
            <w:tcW w:w="31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文艺交流与培训</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2"/>
              </w:rPr>
            </w:pPr>
            <w:r>
              <w:rPr>
                <w:rFonts w:hint="eastAsia" w:ascii="宋体" w:hAnsi="宋体" w:eastAsia="宋体" w:cs="Times New Roman"/>
                <w:color w:val="auto"/>
                <w:kern w:val="0"/>
                <w:sz w:val="22"/>
              </w:rPr>
              <w:t>实施单位</w:t>
            </w:r>
          </w:p>
        </w:tc>
        <w:tc>
          <w:tcPr>
            <w:tcW w:w="373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深圳市福田区文学艺术界联合会</w:t>
            </w:r>
          </w:p>
        </w:tc>
      </w:tr>
      <w:tr>
        <w:tblPrEx>
          <w:tblCellMar>
            <w:top w:w="0" w:type="dxa"/>
            <w:left w:w="108" w:type="dxa"/>
            <w:bottom w:w="0" w:type="dxa"/>
            <w:right w:w="108" w:type="dxa"/>
          </w:tblCellMar>
        </w:tblPrEx>
        <w:trPr>
          <w:gridBefore w:val="1"/>
          <w:wBefore w:w="234" w:type="dxa"/>
          <w:trHeight w:val="300" w:hRule="atLeast"/>
          <w:jc w:val="center"/>
        </w:trPr>
        <w:tc>
          <w:tcPr>
            <w:tcW w:w="1264"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2"/>
              </w:rPr>
            </w:pPr>
            <w:r>
              <w:rPr>
                <w:rFonts w:hint="eastAsia" w:ascii="宋体" w:hAnsi="宋体" w:eastAsia="宋体" w:cs="Times New Roman"/>
                <w:color w:val="auto"/>
                <w:kern w:val="0"/>
                <w:sz w:val="22"/>
              </w:rPr>
              <w:t>项目资金（万元）</w:t>
            </w:r>
          </w:p>
        </w:tc>
        <w:tc>
          <w:tcPr>
            <w:tcW w:w="3119" w:type="dxa"/>
            <w:gridSpan w:val="4"/>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Times New Roman"/>
                <w:color w:val="auto"/>
                <w:kern w:val="0"/>
                <w:sz w:val="22"/>
              </w:rPr>
            </w:pPr>
            <w:r>
              <w:rPr>
                <w:rFonts w:hint="eastAsia" w:ascii="宋体" w:hAnsi="宋体" w:eastAsia="宋体" w:cs="Times New Roman"/>
                <w:color w:val="auto"/>
                <w:kern w:val="0"/>
                <w:sz w:val="22"/>
              </w:rPr>
              <w:t>财政拨款预算数（A）</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2"/>
              </w:rPr>
            </w:pPr>
            <w:r>
              <w:rPr>
                <w:rFonts w:hint="eastAsia" w:ascii="宋体" w:hAnsi="宋体" w:eastAsia="宋体" w:cs="Times New Roman"/>
                <w:color w:val="auto"/>
                <w:kern w:val="0"/>
                <w:sz w:val="22"/>
              </w:rPr>
              <w:t>财政拨款执行数（</w:t>
            </w:r>
            <w:r>
              <w:rPr>
                <w:rFonts w:ascii="Times New Roman" w:hAnsi="Times New Roman" w:eastAsia="宋体" w:cs="Times New Roman"/>
                <w:color w:val="auto"/>
                <w:kern w:val="0"/>
                <w:sz w:val="22"/>
              </w:rPr>
              <w:t>B</w:t>
            </w:r>
            <w:r>
              <w:rPr>
                <w:rFonts w:hint="eastAsia" w:ascii="宋体" w:hAnsi="宋体" w:eastAsia="宋体" w:cs="Times New Roman"/>
                <w:color w:val="auto"/>
                <w:kern w:val="0"/>
                <w:sz w:val="22"/>
              </w:rPr>
              <w:t>）</w:t>
            </w:r>
          </w:p>
        </w:tc>
        <w:tc>
          <w:tcPr>
            <w:tcW w:w="3739"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2"/>
              </w:rPr>
            </w:pPr>
            <w:r>
              <w:rPr>
                <w:rFonts w:hint="eastAsia" w:ascii="宋体" w:hAnsi="宋体" w:eastAsia="宋体" w:cs="Times New Roman"/>
                <w:color w:val="auto"/>
                <w:kern w:val="0"/>
                <w:sz w:val="22"/>
              </w:rPr>
              <w:t>执行率（</w:t>
            </w:r>
            <w:r>
              <w:rPr>
                <w:rFonts w:ascii="Times New Roman" w:hAnsi="Times New Roman" w:eastAsia="宋体" w:cs="Times New Roman"/>
                <w:color w:val="auto"/>
                <w:kern w:val="0"/>
                <w:sz w:val="22"/>
              </w:rPr>
              <w:t>B/A</w:t>
            </w:r>
            <w:r>
              <w:rPr>
                <w:rFonts w:hint="eastAsia" w:ascii="宋体" w:hAnsi="宋体" w:eastAsia="宋体" w:cs="Times New Roman"/>
                <w:color w:val="auto"/>
                <w:kern w:val="0"/>
                <w:sz w:val="22"/>
              </w:rPr>
              <w:t>）</w:t>
            </w:r>
          </w:p>
        </w:tc>
      </w:tr>
      <w:tr>
        <w:tblPrEx>
          <w:tblCellMar>
            <w:top w:w="0" w:type="dxa"/>
            <w:left w:w="108" w:type="dxa"/>
            <w:bottom w:w="0" w:type="dxa"/>
            <w:right w:w="108" w:type="dxa"/>
          </w:tblCellMar>
        </w:tblPrEx>
        <w:trPr>
          <w:gridBefore w:val="1"/>
          <w:wBefore w:w="234" w:type="dxa"/>
          <w:trHeight w:val="300" w:hRule="atLeast"/>
          <w:jc w:val="center"/>
        </w:trPr>
        <w:tc>
          <w:tcPr>
            <w:tcW w:w="126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3119"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1</w:t>
            </w:r>
            <w:r>
              <w:rPr>
                <w:rFonts w:hint="eastAsia" w:ascii="Times New Roman" w:hAnsi="Times New Roman" w:eastAsia="宋体" w:cs="Times New Roman"/>
                <w:color w:val="auto"/>
                <w:kern w:val="0"/>
                <w:sz w:val="22"/>
              </w:rPr>
              <w:t>00</w:t>
            </w:r>
            <w:r>
              <w:rPr>
                <w:rFonts w:ascii="Times New Roman" w:hAnsi="Times New Roman" w:eastAsia="宋体" w:cs="Times New Roman"/>
                <w:color w:val="auto"/>
                <w:kern w:val="0"/>
                <w:sz w:val="22"/>
              </w:rPr>
              <w:t>.00</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99.73</w:t>
            </w:r>
          </w:p>
        </w:tc>
        <w:tc>
          <w:tcPr>
            <w:tcW w:w="3739"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99.73%</w:t>
            </w:r>
          </w:p>
        </w:tc>
      </w:tr>
      <w:tr>
        <w:tblPrEx>
          <w:tblCellMar>
            <w:top w:w="0" w:type="dxa"/>
            <w:left w:w="108" w:type="dxa"/>
            <w:bottom w:w="0" w:type="dxa"/>
            <w:right w:w="108" w:type="dxa"/>
          </w:tblCellMar>
        </w:tblPrEx>
        <w:trPr>
          <w:gridBefore w:val="1"/>
          <w:wBefore w:w="234" w:type="dxa"/>
          <w:trHeight w:val="810" w:hRule="atLeast"/>
          <w:jc w:val="center"/>
        </w:trPr>
        <w:tc>
          <w:tcPr>
            <w:tcW w:w="12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2"/>
              </w:rPr>
            </w:pPr>
            <w:r>
              <w:rPr>
                <w:rFonts w:hint="eastAsia" w:ascii="宋体" w:hAnsi="宋体" w:eastAsia="宋体" w:cs="Times New Roman"/>
                <w:color w:val="auto"/>
                <w:kern w:val="0"/>
                <w:sz w:val="22"/>
              </w:rPr>
              <w:t>绩效指标</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2"/>
              </w:rPr>
            </w:pPr>
            <w:r>
              <w:rPr>
                <w:rFonts w:hint="eastAsia" w:ascii="宋体" w:hAnsi="宋体" w:eastAsia="宋体" w:cs="Times New Roman"/>
                <w:color w:val="auto"/>
                <w:kern w:val="0"/>
                <w:sz w:val="22"/>
              </w:rPr>
              <w:t>绩效内容</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2"/>
              </w:rPr>
            </w:pPr>
            <w:r>
              <w:rPr>
                <w:rFonts w:hint="eastAsia" w:ascii="宋体" w:hAnsi="宋体" w:eastAsia="宋体" w:cs="Times New Roman"/>
                <w:color w:val="auto"/>
                <w:kern w:val="0"/>
                <w:sz w:val="22"/>
              </w:rPr>
              <w:t>绩效指标</w:t>
            </w: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2"/>
              </w:rPr>
            </w:pPr>
            <w:r>
              <w:rPr>
                <w:rFonts w:hint="eastAsia" w:ascii="宋体" w:hAnsi="宋体" w:eastAsia="宋体" w:cs="Times New Roman"/>
                <w:color w:val="auto"/>
                <w:kern w:val="0"/>
                <w:sz w:val="22"/>
              </w:rPr>
              <w:t>指标内容</w:t>
            </w: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2"/>
              </w:rPr>
            </w:pPr>
            <w:r>
              <w:rPr>
                <w:rFonts w:hint="eastAsia" w:ascii="宋体" w:hAnsi="宋体" w:eastAsia="宋体" w:cs="Times New Roman"/>
                <w:color w:val="auto"/>
                <w:kern w:val="0"/>
                <w:sz w:val="22"/>
              </w:rPr>
              <w:t>目标值</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2"/>
              </w:rPr>
            </w:pPr>
            <w:r>
              <w:rPr>
                <w:rFonts w:hint="eastAsia" w:ascii="宋体" w:hAnsi="宋体" w:eastAsia="宋体" w:cs="Times New Roman"/>
                <w:color w:val="auto"/>
                <w:kern w:val="0"/>
                <w:sz w:val="22"/>
              </w:rPr>
              <w:t>目标完成情况</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color w:val="auto"/>
                <w:kern w:val="0"/>
                <w:sz w:val="22"/>
              </w:rPr>
            </w:pPr>
            <w:r>
              <w:rPr>
                <w:rFonts w:hint="eastAsia" w:ascii="宋体" w:hAnsi="宋体" w:eastAsia="宋体" w:cs="Times New Roman"/>
                <w:color w:val="auto"/>
                <w:kern w:val="0"/>
                <w:sz w:val="22"/>
              </w:rPr>
              <w:t>未完成原因及改进措施</w:t>
            </w: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right="-313" w:rightChars="-149"/>
              <w:rPr>
                <w:rFonts w:ascii="宋体" w:hAnsi="宋体" w:eastAsia="宋体" w:cs="Times New Roman"/>
                <w:color w:val="auto"/>
                <w:kern w:val="0"/>
                <w:sz w:val="22"/>
              </w:rPr>
            </w:pPr>
            <w:r>
              <w:rPr>
                <w:rFonts w:hint="eastAsia" w:ascii="宋体" w:hAnsi="宋体" w:eastAsia="宋体" w:cs="Times New Roman"/>
                <w:color w:val="auto"/>
                <w:kern w:val="0"/>
                <w:sz w:val="22"/>
              </w:rPr>
              <w:t>绩效指标</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2"/>
              </w:rPr>
            </w:pPr>
            <w:r>
              <w:rPr>
                <w:rFonts w:hint="eastAsia" w:ascii="宋体" w:hAnsi="宋体" w:eastAsia="宋体" w:cs="Times New Roman"/>
                <w:color w:val="auto"/>
                <w:kern w:val="0"/>
                <w:sz w:val="22"/>
              </w:rPr>
              <w:t>产出</w:t>
            </w:r>
          </w:p>
        </w:tc>
        <w:tc>
          <w:tcPr>
            <w:tcW w:w="1369" w:type="dxa"/>
            <w:gridSpan w:val="2"/>
            <w:vMerge w:val="restart"/>
            <w:tcBorders>
              <w:top w:val="nil"/>
              <w:left w:val="nil"/>
              <w:right w:val="single" w:color="auto" w:sz="4" w:space="0"/>
            </w:tcBorders>
            <w:shd w:val="clear" w:color="auto" w:fill="auto"/>
            <w:vAlign w:val="center"/>
          </w:tcPr>
          <w:p>
            <w:pPr>
              <w:widowControl/>
              <w:jc w:val="center"/>
              <w:rPr>
                <w:rFonts w:ascii="宋体" w:hAnsi="宋体" w:eastAsia="宋体" w:cs="Times New Roman"/>
                <w:color w:val="auto"/>
                <w:kern w:val="0"/>
                <w:sz w:val="22"/>
              </w:rPr>
            </w:pPr>
            <w:r>
              <w:rPr>
                <w:rFonts w:hint="eastAsia" w:ascii="宋体" w:hAnsi="宋体" w:eastAsia="宋体" w:cs="Times New Roman"/>
                <w:color w:val="auto"/>
                <w:kern w:val="0"/>
                <w:sz w:val="22"/>
              </w:rPr>
              <w:t>数量</w:t>
            </w: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lang w:val="en-US" w:eastAsia="zh-CN"/>
              </w:rPr>
              <w:t>1、</w:t>
            </w:r>
            <w:r>
              <w:rPr>
                <w:rFonts w:hint="eastAsia" w:ascii="Times New Roman" w:hAnsi="Times New Roman" w:eastAsia="宋体" w:cs="Times New Roman"/>
                <w:color w:val="auto"/>
                <w:kern w:val="0"/>
                <w:sz w:val="22"/>
              </w:rPr>
              <w:t>赴大理参加国际影会采风创作</w:t>
            </w:r>
            <w:r>
              <w:rPr>
                <w:rFonts w:hint="eastAsia" w:ascii="Times New Roman" w:hAnsi="Times New Roman" w:eastAsia="宋体" w:cs="Times New Roman"/>
                <w:color w:val="auto"/>
                <w:kern w:val="0"/>
                <w:sz w:val="22"/>
                <w:lang w:eastAsia="zh-CN"/>
              </w:rPr>
              <w:t>。</w:t>
            </w:r>
            <w:r>
              <w:rPr>
                <w:rFonts w:hint="eastAsia" w:ascii="Times New Roman" w:hAnsi="Times New Roman" w:eastAsia="宋体" w:cs="Times New Roman"/>
                <w:color w:val="auto"/>
                <w:kern w:val="0"/>
                <w:sz w:val="22"/>
                <w:lang w:val="en-US" w:eastAsia="zh-CN"/>
              </w:rPr>
              <w:t>2、</w:t>
            </w:r>
            <w:r>
              <w:rPr>
                <w:rFonts w:hint="eastAsia" w:ascii="Times New Roman" w:hAnsi="Times New Roman" w:eastAsia="宋体" w:cs="Times New Roman"/>
                <w:color w:val="auto"/>
                <w:kern w:val="0"/>
                <w:sz w:val="22"/>
                <w:lang w:eastAsia="zh-CN"/>
              </w:rPr>
              <w:t>广西罗城精准扶贫及交流笔会。</w:t>
            </w:r>
            <w:r>
              <w:rPr>
                <w:rFonts w:hint="eastAsia" w:ascii="Times New Roman" w:hAnsi="Times New Roman" w:eastAsia="宋体" w:cs="Times New Roman"/>
                <w:color w:val="auto"/>
                <w:kern w:val="0"/>
                <w:sz w:val="22"/>
                <w:lang w:val="en-US" w:eastAsia="zh-CN"/>
              </w:rPr>
              <w:t>3、</w:t>
            </w:r>
            <w:r>
              <w:rPr>
                <w:rFonts w:hint="eastAsia" w:ascii="Times New Roman" w:hAnsi="Times New Roman" w:eastAsia="宋体" w:cs="Times New Roman"/>
                <w:color w:val="auto"/>
                <w:kern w:val="0"/>
                <w:sz w:val="22"/>
                <w:lang w:eastAsia="zh-CN"/>
              </w:rPr>
              <w:t>“重走长征路”贵州遵义采风创作活动。</w:t>
            </w:r>
            <w:r>
              <w:rPr>
                <w:rFonts w:hint="eastAsia" w:ascii="Times New Roman" w:hAnsi="Times New Roman" w:eastAsia="宋体" w:cs="Times New Roman"/>
                <w:color w:val="auto"/>
                <w:kern w:val="0"/>
                <w:sz w:val="22"/>
              </w:rPr>
              <w:t>组织区艺术骨干赴革命圣地贵州遵义进行采风，并与遵义市文联共同举办了笔会交流活动，促进了两地间的文化交流。</w:t>
            </w: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2"/>
                <w:lang w:eastAsia="zh-CN"/>
              </w:rPr>
            </w:pPr>
            <w:r>
              <w:rPr>
                <w:rFonts w:hint="eastAsia" w:ascii="Times New Roman" w:hAnsi="Times New Roman" w:eastAsia="宋体" w:cs="Times New Roman"/>
                <w:color w:val="auto"/>
                <w:kern w:val="0"/>
                <w:sz w:val="22"/>
                <w:lang w:eastAsia="zh-CN"/>
              </w:rPr>
              <w:t>参加人数约</w:t>
            </w:r>
            <w:r>
              <w:rPr>
                <w:rFonts w:hint="eastAsia" w:ascii="Times New Roman" w:hAnsi="Times New Roman" w:eastAsia="宋体" w:cs="Times New Roman"/>
                <w:color w:val="auto"/>
                <w:kern w:val="0"/>
                <w:sz w:val="22"/>
                <w:lang w:val="en-US" w:eastAsia="zh-CN"/>
              </w:rPr>
              <w:t>100人</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100%</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r>
        <w:tblPrEx>
          <w:tblCellMar>
            <w:top w:w="0" w:type="dxa"/>
            <w:left w:w="108" w:type="dxa"/>
            <w:bottom w:w="0" w:type="dxa"/>
            <w:right w:w="108" w:type="dxa"/>
          </w:tblCellMar>
        </w:tblPrEx>
        <w:trPr>
          <w:gridBefore w:val="1"/>
          <w:wBefore w:w="234" w:type="dxa"/>
          <w:trHeight w:val="3744"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2"/>
              </w:rPr>
            </w:pPr>
          </w:p>
        </w:tc>
        <w:tc>
          <w:tcPr>
            <w:tcW w:w="3945" w:type="dxa"/>
            <w:gridSpan w:val="3"/>
            <w:tcBorders>
              <w:top w:val="nil"/>
              <w:left w:val="nil"/>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2"/>
                <w:lang w:eastAsia="zh-CN"/>
              </w:rPr>
            </w:pPr>
            <w:r>
              <w:rPr>
                <w:rFonts w:hint="eastAsia" w:ascii="Times New Roman" w:hAnsi="Times New Roman" w:eastAsia="宋体" w:cs="Times New Roman"/>
                <w:color w:val="auto"/>
                <w:kern w:val="0"/>
                <w:sz w:val="22"/>
              </w:rPr>
              <w:t>各艺术家协会全年对内对外开展各类培训、辅导、名师讲座。如书法家协会剪纸团队每周坚持常态化业务培训、学习和交流；摄影家协会开展一系列便民公益摄影活动以及残疾人摄影交流、培训，举办多场社区公益讲座、摄影艺术展览、摄影文化比赛，摄影季期间在福田区十个街道组织进行了数十场摄影公益讲座等；举办艺术培训，提高机关干部艺术修养。如：“福田区机关干部美术、书法、剪纸培训提高班”并邀请专家进行专题艺术讲座。</w:t>
            </w:r>
          </w:p>
        </w:tc>
        <w:tc>
          <w:tcPr>
            <w:tcW w:w="905" w:type="dxa"/>
            <w:tcBorders>
              <w:top w:val="nil"/>
              <w:left w:val="nil"/>
              <w:right w:val="single" w:color="auto" w:sz="4" w:space="0"/>
            </w:tcBorders>
            <w:shd w:val="clear" w:color="auto" w:fill="auto"/>
            <w:vAlign w:val="center"/>
          </w:tcPr>
          <w:p>
            <w:pPr>
              <w:widowControl/>
              <w:jc w:val="left"/>
              <w:rPr>
                <w:rFonts w:hint="eastAsia" w:ascii="Times New Roman" w:hAnsi="Times New Roman" w:eastAsia="宋体" w:cs="Times New Roman"/>
                <w:color w:val="auto"/>
                <w:kern w:val="0"/>
                <w:sz w:val="22"/>
                <w:lang w:eastAsia="zh-CN"/>
              </w:rPr>
            </w:pPr>
            <w:r>
              <w:rPr>
                <w:rFonts w:hint="eastAsia" w:ascii="Times New Roman" w:hAnsi="Times New Roman" w:eastAsia="宋体" w:cs="Times New Roman"/>
                <w:color w:val="auto"/>
                <w:kern w:val="0"/>
                <w:sz w:val="22"/>
                <w:lang w:eastAsia="zh-CN"/>
              </w:rPr>
              <w:t>参加人数合计约</w:t>
            </w:r>
            <w:r>
              <w:rPr>
                <w:rFonts w:hint="eastAsia" w:ascii="Times New Roman" w:hAnsi="Times New Roman" w:eastAsia="宋体" w:cs="Times New Roman"/>
                <w:color w:val="auto"/>
                <w:kern w:val="0"/>
                <w:sz w:val="22"/>
                <w:lang w:val="en-US" w:eastAsia="zh-CN"/>
              </w:rPr>
              <w:t>3000人</w:t>
            </w:r>
          </w:p>
        </w:tc>
        <w:tc>
          <w:tcPr>
            <w:tcW w:w="925" w:type="dxa"/>
            <w:tcBorders>
              <w:top w:val="nil"/>
              <w:left w:val="nil"/>
              <w:right w:val="single" w:color="auto" w:sz="4" w:space="0"/>
            </w:tcBorders>
            <w:shd w:val="clear" w:color="auto" w:fill="auto"/>
            <w:vAlign w:val="top"/>
          </w:tcPr>
          <w:p>
            <w:pPr>
              <w:widowControl/>
              <w:jc w:val="left"/>
              <w:rPr>
                <w:rFonts w:hint="eastAsia" w:ascii="Times New Roman" w:hAnsi="Times New Roman" w:eastAsia="宋体" w:cs="Times New Roman"/>
                <w:color w:val="auto"/>
                <w:kern w:val="0"/>
                <w:sz w:val="22"/>
                <w:lang w:val="en-US" w:eastAsia="zh-CN"/>
              </w:rPr>
            </w:pPr>
            <w:r>
              <w:rPr>
                <w:rFonts w:hint="eastAsia" w:ascii="Times New Roman" w:hAnsi="Times New Roman" w:eastAsia="宋体" w:cs="Times New Roman"/>
                <w:color w:val="auto"/>
                <w:kern w:val="0"/>
                <w:sz w:val="22"/>
                <w:lang w:val="en-US" w:eastAsia="zh-CN"/>
              </w:rPr>
              <w:t>100%</w:t>
            </w:r>
          </w:p>
        </w:tc>
        <w:tc>
          <w:tcPr>
            <w:tcW w:w="1340" w:type="dxa"/>
            <w:vMerge w:val="restart"/>
            <w:tcBorders>
              <w:top w:val="nil"/>
              <w:left w:val="nil"/>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vMerge w:val="restart"/>
            <w:tcBorders>
              <w:top w:val="nil"/>
              <w:left w:val="nil"/>
              <w:right w:val="single" w:color="auto" w:sz="4" w:space="0"/>
            </w:tcBorders>
            <w:shd w:val="clear" w:color="auto" w:fill="auto"/>
            <w:vAlign w:val="center"/>
          </w:tcPr>
          <w:p>
            <w:pPr>
              <w:widowControl/>
              <w:jc w:val="center"/>
              <w:rPr>
                <w:rFonts w:ascii="宋体" w:hAnsi="宋体" w:eastAsia="宋体" w:cs="Times New Roman"/>
                <w:color w:val="auto"/>
                <w:kern w:val="0"/>
                <w:sz w:val="22"/>
              </w:rPr>
            </w:pP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文艺培训质量</w:t>
            </w: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1340"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2"/>
              </w:rPr>
            </w:pP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2"/>
              </w:rPr>
            </w:pP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2"/>
              </w:rPr>
            </w:pP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vMerge w:val="restart"/>
            <w:tcBorders>
              <w:top w:val="nil"/>
              <w:left w:val="nil"/>
              <w:right w:val="single" w:color="auto" w:sz="4" w:space="0"/>
            </w:tcBorders>
            <w:shd w:val="clear" w:color="auto" w:fill="auto"/>
            <w:vAlign w:val="center"/>
          </w:tcPr>
          <w:p>
            <w:pPr>
              <w:jc w:val="center"/>
              <w:rPr>
                <w:rFonts w:ascii="宋体" w:hAnsi="宋体" w:eastAsia="宋体" w:cs="Times New Roman"/>
                <w:color w:val="auto"/>
                <w:kern w:val="0"/>
                <w:sz w:val="22"/>
              </w:rPr>
            </w:pPr>
            <w:r>
              <w:rPr>
                <w:rFonts w:hint="eastAsia" w:ascii="宋体" w:hAnsi="宋体" w:eastAsia="宋体" w:cs="Times New Roman"/>
                <w:color w:val="auto"/>
                <w:kern w:val="0"/>
                <w:sz w:val="22"/>
              </w:rPr>
              <w:t>工作实效</w:t>
            </w: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05" w:type="dxa"/>
            <w:vMerge w:val="restart"/>
            <w:tcBorders>
              <w:top w:val="nil"/>
              <w:left w:val="nil"/>
              <w:right w:val="single" w:color="auto" w:sz="4" w:space="0"/>
            </w:tcBorders>
            <w:shd w:val="clear" w:color="auto" w:fill="auto"/>
            <w:vAlign w:val="center"/>
          </w:tcPr>
          <w:p>
            <w:pPr>
              <w:jc w:val="center"/>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一年</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vMerge w:val="continue"/>
            <w:tcBorders>
              <w:left w:val="nil"/>
              <w:right w:val="single" w:color="auto" w:sz="4" w:space="0"/>
            </w:tcBorders>
            <w:shd w:val="clear" w:color="auto" w:fill="auto"/>
            <w:vAlign w:val="center"/>
          </w:tcPr>
          <w:p>
            <w:pPr>
              <w:jc w:val="center"/>
              <w:rPr>
                <w:rFonts w:ascii="Times New Roman" w:hAnsi="Times New Roman" w:eastAsia="宋体" w:cs="Times New Roman"/>
                <w:color w:val="auto"/>
                <w:kern w:val="0"/>
                <w:sz w:val="22"/>
              </w:rPr>
            </w:pP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905" w:type="dxa"/>
            <w:vMerge w:val="continue"/>
            <w:tcBorders>
              <w:left w:val="nil"/>
              <w:right w:val="single" w:color="auto" w:sz="4" w:space="0"/>
            </w:tcBorders>
            <w:shd w:val="clear" w:color="auto" w:fill="auto"/>
            <w:vAlign w:val="center"/>
          </w:tcPr>
          <w:p>
            <w:pPr>
              <w:jc w:val="left"/>
              <w:rPr>
                <w:rFonts w:ascii="Times New Roman" w:hAnsi="Times New Roman" w:eastAsia="宋体" w:cs="Times New Roman"/>
                <w:color w:val="auto"/>
                <w:kern w:val="0"/>
                <w:sz w:val="22"/>
              </w:rPr>
            </w:pP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2"/>
              </w:rPr>
            </w:pP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905"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2"/>
              </w:rPr>
            </w:pPr>
            <w:r>
              <w:rPr>
                <w:rFonts w:hint="eastAsia" w:ascii="宋体" w:hAnsi="宋体" w:eastAsia="宋体" w:cs="Times New Roman"/>
                <w:color w:val="auto"/>
                <w:kern w:val="0"/>
                <w:sz w:val="22"/>
              </w:rPr>
              <w:t>效益</w:t>
            </w: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2"/>
              </w:rPr>
            </w:pPr>
            <w:r>
              <w:rPr>
                <w:rFonts w:hint="eastAsia" w:ascii="宋体" w:hAnsi="宋体" w:eastAsia="宋体" w:cs="Times New Roman"/>
                <w:color w:val="auto"/>
                <w:kern w:val="0"/>
                <w:sz w:val="22"/>
              </w:rPr>
              <w:t>服务满意度</w:t>
            </w: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2"/>
              </w:rPr>
            </w:pPr>
            <w:r>
              <w:rPr>
                <w:rFonts w:hint="eastAsia" w:ascii="宋体" w:hAnsi="宋体" w:eastAsia="宋体" w:cs="Times New Roman"/>
                <w:color w:val="auto"/>
                <w:kern w:val="0"/>
                <w:sz w:val="22"/>
              </w:rPr>
              <w:t>社会效益</w:t>
            </w: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2"/>
              </w:rPr>
            </w:pPr>
            <w:r>
              <w:rPr>
                <w:rFonts w:hint="eastAsia" w:ascii="宋体" w:hAnsi="宋体" w:eastAsia="宋体" w:cs="Times New Roman"/>
                <w:color w:val="auto"/>
                <w:kern w:val="0"/>
                <w:sz w:val="22"/>
              </w:rPr>
              <w:t>生态效益</w:t>
            </w: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2"/>
              </w:rPr>
            </w:pPr>
            <w:r>
              <w:rPr>
                <w:rFonts w:hint="eastAsia" w:ascii="宋体" w:hAnsi="宋体" w:eastAsia="宋体" w:cs="Times New Roman"/>
                <w:color w:val="auto"/>
                <w:kern w:val="0"/>
                <w:sz w:val="22"/>
              </w:rPr>
              <w:t>经济效益</w:t>
            </w: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r>
        <w:tblPrEx>
          <w:tblCellMar>
            <w:top w:w="0" w:type="dxa"/>
            <w:left w:w="108" w:type="dxa"/>
            <w:bottom w:w="0" w:type="dxa"/>
            <w:right w:w="108" w:type="dxa"/>
          </w:tblCellMar>
        </w:tblPrEx>
        <w:trPr>
          <w:gridBefore w:val="1"/>
          <w:wBefore w:w="234" w:type="dxa"/>
          <w:trHeight w:val="403" w:hRule="atLeast"/>
          <w:jc w:val="center"/>
        </w:trPr>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 w:val="22"/>
              </w:rPr>
            </w:pPr>
          </w:p>
        </w:tc>
        <w:tc>
          <w:tcPr>
            <w:tcW w:w="13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auto"/>
                <w:kern w:val="0"/>
                <w:sz w:val="22"/>
              </w:rPr>
            </w:pPr>
            <w:r>
              <w:rPr>
                <w:rFonts w:hint="eastAsia" w:ascii="宋体" w:hAnsi="宋体" w:eastAsia="宋体" w:cs="Times New Roman"/>
                <w:color w:val="auto"/>
                <w:kern w:val="0"/>
                <w:sz w:val="22"/>
              </w:rPr>
              <w:t>……</w:t>
            </w:r>
          </w:p>
        </w:tc>
        <w:tc>
          <w:tcPr>
            <w:tcW w:w="394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92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auto"/>
                <w:kern w:val="0"/>
                <w:sz w:val="2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gridBefore w:val="1"/>
          <w:wBefore w:w="234" w:type="dxa"/>
          <w:jc w:val="center"/>
        </w:trPr>
        <w:tc>
          <w:tcPr>
            <w:tcW w:w="2958" w:type="dxa"/>
            <w:gridSpan w:val="3"/>
            <w:tcBorders>
              <w:top w:val="outset" w:color="000000" w:sz="6" w:space="0"/>
              <w:left w:val="outset" w:color="000000" w:sz="6" w:space="0"/>
              <w:bottom w:val="outset" w:color="000000" w:sz="6" w:space="0"/>
              <w:right w:val="outset" w:color="000000" w:sz="6" w:space="0"/>
            </w:tcBorders>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b w:val="0"/>
                <w:i w:val="0"/>
                <w:caps w:val="0"/>
                <w:color w:val="auto"/>
                <w:spacing w:val="0"/>
                <w:sz w:val="20"/>
                <w:szCs w:val="20"/>
              </w:rPr>
              <w:t>绩效自评综合得分</w:t>
            </w:r>
          </w:p>
        </w:tc>
        <w:tc>
          <w:tcPr>
            <w:tcW w:w="7999" w:type="dxa"/>
            <w:gridSpan w:val="7"/>
            <w:tcBorders>
              <w:top w:val="outset" w:color="000000" w:sz="6" w:space="0"/>
              <w:left w:val="outset" w:color="000000" w:sz="6" w:space="0"/>
              <w:bottom w:val="outset" w:color="000000" w:sz="6" w:space="0"/>
              <w:right w:val="outset" w:color="000000" w:sz="6" w:space="0"/>
            </w:tcBorders>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val="0"/>
                <w:i w:val="0"/>
                <w:caps w:val="0"/>
                <w:color w:val="auto"/>
                <w:spacing w:val="0"/>
                <w:sz w:val="20"/>
                <w:szCs w:val="20"/>
              </w:rPr>
              <w:t> </w:t>
            </w:r>
            <w:r>
              <w:rPr>
                <w:rFonts w:hint="eastAsia" w:ascii="仿宋_GB2312" w:hAnsi="仿宋_GB2312" w:eastAsia="仿宋_GB2312" w:cs="仿宋_GB2312"/>
                <w:b w:val="0"/>
                <w:i w:val="0"/>
                <w:caps w:val="0"/>
                <w:color w:val="auto"/>
                <w:spacing w:val="0"/>
                <w:sz w:val="20"/>
                <w:szCs w:val="20"/>
                <w:lang w:val="en-US" w:eastAsia="zh-CN"/>
              </w:rPr>
              <w:t>99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87" w:hRule="atLeast"/>
          <w:jc w:val="center"/>
        </w:trPr>
        <w:tc>
          <w:tcPr>
            <w:tcW w:w="11191" w:type="dxa"/>
            <w:gridSpan w:val="11"/>
            <w:tcBorders>
              <w:top w:val="outset" w:color="000000" w:sz="6" w:space="0"/>
              <w:left w:val="outset" w:color="000000" w:sz="6" w:space="0"/>
              <w:bottom w:val="outset" w:color="000000" w:sz="6" w:space="0"/>
              <w:right w:val="outset" w:color="000000" w:sz="6" w:space="0"/>
            </w:tcBorders>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val="0"/>
                <w:i w:val="0"/>
                <w:caps w:val="0"/>
                <w:color w:val="auto"/>
                <w:spacing w:val="0"/>
                <w:sz w:val="24"/>
                <w:szCs w:val="24"/>
              </w:rPr>
              <w:t>五、评价报告综述（文字部分）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_GB2312" w:hAnsi="仿宋_GB2312" w:eastAsia="仿宋_GB2312" w:cs="仿宋_GB2312"/>
                <w:color w:val="auto"/>
                <w:sz w:val="20"/>
                <w:szCs w:val="20"/>
              </w:rPr>
            </w:pPr>
            <w:r>
              <w:rPr>
                <w:rFonts w:hint="eastAsia" w:ascii="仿宋_GB2312" w:hAnsi="仿宋_GB2312" w:eastAsia="仿宋_GB2312" w:cs="仿宋_GB2312"/>
                <w:b w:val="0"/>
                <w:i w:val="0"/>
                <w:caps w:val="0"/>
                <w:color w:val="auto"/>
                <w:spacing w:val="0"/>
                <w:sz w:val="20"/>
                <w:szCs w:val="20"/>
              </w:rPr>
              <w:t> </w:t>
            </w:r>
            <w:r>
              <w:rPr>
                <w:rFonts w:hint="eastAsia" w:ascii="仿宋_GB2312" w:hAnsi="仿宋_GB2312" w:eastAsia="仿宋_GB2312" w:cs="仿宋_GB2312"/>
                <w:b w:val="0"/>
                <w:i w:val="0"/>
                <w:caps w:val="0"/>
                <w:color w:val="auto"/>
                <w:spacing w:val="0"/>
                <w:sz w:val="20"/>
                <w:szCs w:val="20"/>
                <w:lang w:val="en-US" w:eastAsia="zh-CN"/>
              </w:rPr>
              <w:t xml:space="preserve">  </w:t>
            </w:r>
            <w:r>
              <w:rPr>
                <w:rFonts w:hint="eastAsia" w:ascii="Times New Roman" w:hAnsi="Times New Roman" w:eastAsia="宋体" w:cs="Times New Roman"/>
                <w:color w:val="auto"/>
                <w:kern w:val="0"/>
                <w:sz w:val="20"/>
                <w:szCs w:val="20"/>
              </w:rPr>
              <w:t>文艺交流与培训支出为</w:t>
            </w:r>
            <w:r>
              <w:rPr>
                <w:rFonts w:ascii="Times New Roman" w:hAnsi="Times New Roman" w:eastAsia="宋体" w:cs="Times New Roman"/>
                <w:color w:val="auto"/>
                <w:kern w:val="0"/>
                <w:sz w:val="20"/>
                <w:szCs w:val="20"/>
              </w:rPr>
              <w:t>99.73</w:t>
            </w:r>
            <w:r>
              <w:rPr>
                <w:rFonts w:hint="eastAsia" w:ascii="Times New Roman" w:hAnsi="Times New Roman" w:eastAsia="宋体" w:cs="Times New Roman"/>
                <w:color w:val="auto"/>
                <w:kern w:val="0"/>
                <w:sz w:val="20"/>
                <w:szCs w:val="20"/>
              </w:rPr>
              <w:t>万元，主要用于文艺培训、艺术展览、文心行动等经费。文心行动为文联主要工作内容之一，2017年开展的活动包括关爱满福田•幸福进万家”---百名书法家进社区送春联活动、“粽飘香、客家情”客家山歌沙头演唱会、“金儒鸣玉”即兴演奏和即兴吟唱活动等。《第六届“关爱满福田•幸福进万家”---百名书法家进社区送春联活动》，让文化惠民品牌走进千家万户，组织100名书法家、剪纸艺术家分批深入到福田汽车站、莲花山公园、福田区委大楼、福田书画院、辖区10个街道94个社区，现场为社区居民、返乡劳务工现场挥毫、献艺，免费赠送春联、窗花，弘扬传统文化，歌颂和谐盛世，把祝福、吉祥送到千家万户。</w:t>
            </w:r>
            <w:r>
              <w:rPr>
                <w:rFonts w:hint="eastAsia" w:ascii="仿宋_GB2312" w:hAnsi="仿宋_GB2312" w:eastAsia="仿宋_GB2312" w:cs="仿宋_GB2312"/>
                <w:b w:val="0"/>
                <w:i w:val="0"/>
                <w:caps w:val="0"/>
                <w:color w:val="auto"/>
                <w:spacing w:val="0"/>
                <w:sz w:val="20"/>
                <w:szCs w:val="2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_GB2312" w:hAnsi="仿宋_GB2312" w:eastAsia="仿宋_GB2312" w:cs="仿宋_GB2312"/>
                <w:b w:val="0"/>
                <w:i w:val="0"/>
                <w:caps w:val="0"/>
                <w:color w:val="auto"/>
                <w:spacing w:val="0"/>
                <w:sz w:val="24"/>
                <w:szCs w:val="24"/>
              </w:rPr>
            </w:pPr>
          </w:p>
        </w:tc>
      </w:tr>
    </w:tbl>
    <w:p>
      <w:pPr>
        <w:numPr>
          <w:ilvl w:val="0"/>
          <w:numId w:val="0"/>
        </w:numPr>
        <w:rPr>
          <w:rFonts w:hint="eastAsia" w:ascii="黑体" w:hAnsi="黑体" w:eastAsia="黑体"/>
          <w:color w:val="auto"/>
          <w:sz w:val="32"/>
          <w:szCs w:val="32"/>
          <w:highlight w:val="none"/>
          <w:lang w:val="en-US" w:eastAsia="zh-CN"/>
        </w:rPr>
      </w:pPr>
    </w:p>
    <w:p>
      <w:pPr>
        <w:numPr>
          <w:ilvl w:val="0"/>
          <w:numId w:val="3"/>
        </w:numPr>
        <w:ind w:firstLine="640" w:firstLineChars="200"/>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rPr>
        <w:t>名词解释</w:t>
      </w:r>
    </w:p>
    <w:p>
      <w:pPr>
        <w:numPr>
          <w:ilvl w:val="0"/>
          <w:numId w:val="0"/>
        </w:numPr>
        <w:ind w:firstLine="643" w:firstLineChars="200"/>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lang w:val="en-US" w:eastAsia="zh-CN"/>
        </w:rPr>
        <w:t>（一）收入科目名词解释</w:t>
      </w:r>
    </w:p>
    <w:p>
      <w:pPr>
        <w:autoSpaceDE w:val="0"/>
        <w:autoSpaceDN w:val="0"/>
        <w:adjustRightInd w:val="0"/>
        <w:ind w:firstLine="640" w:firstLineChars="200"/>
        <w:jc w:val="left"/>
        <w:rPr>
          <w:rFonts w:ascii="仿宋_GB2312" w:hAnsi="宋体" w:eastAsia="仿宋_GB2312" w:cs="Times New Roman"/>
          <w:color w:val="auto"/>
          <w:sz w:val="32"/>
          <w:szCs w:val="32"/>
        </w:rPr>
      </w:pPr>
      <w:r>
        <w:rPr>
          <w:rFonts w:hint="eastAsia" w:ascii="仿宋_GB2312" w:eastAsia="仿宋_GB2312" w:cs="Times New Roman"/>
          <w:color w:val="auto"/>
          <w:sz w:val="32"/>
          <w:szCs w:val="32"/>
          <w:lang w:val="en-US" w:eastAsia="zh-CN"/>
        </w:rPr>
        <w:t>1</w:t>
      </w:r>
      <w:r>
        <w:rPr>
          <w:rFonts w:hint="eastAsia" w:ascii="仿宋_GB2312" w:hAnsi="宋体" w:eastAsia="仿宋_GB2312" w:cs="Times New Roman"/>
          <w:color w:val="auto"/>
          <w:sz w:val="32"/>
          <w:szCs w:val="32"/>
        </w:rPr>
        <w:t>、财政拨款收入：指本级财政当年拨付的资金。</w:t>
      </w:r>
    </w:p>
    <w:p>
      <w:pPr>
        <w:autoSpaceDE w:val="0"/>
        <w:autoSpaceDN w:val="0"/>
        <w:adjustRightInd w:val="0"/>
        <w:ind w:firstLine="640" w:firstLineChars="200"/>
        <w:jc w:val="left"/>
        <w:rPr>
          <w:rFonts w:ascii="仿宋_GB2312" w:hAnsi="宋体" w:eastAsia="仿宋_GB2312" w:cs="Times New Roman"/>
          <w:color w:val="auto"/>
          <w:sz w:val="32"/>
          <w:szCs w:val="32"/>
        </w:rPr>
      </w:pPr>
      <w:r>
        <w:rPr>
          <w:rFonts w:hint="eastAsia" w:ascii="仿宋_GB2312" w:eastAsia="仿宋_GB2312" w:cs="Times New Roman"/>
          <w:color w:val="auto"/>
          <w:sz w:val="32"/>
          <w:szCs w:val="32"/>
          <w:lang w:val="en-US" w:eastAsia="zh-CN"/>
        </w:rPr>
        <w:t>2</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上级补助收入</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事业单位从主管部门和上级单位取得的非</w:t>
      </w:r>
      <w:r>
        <w:rPr>
          <w:color w:val="auto"/>
        </w:rPr>
        <w:fldChar w:fldCharType="begin"/>
      </w:r>
      <w:r>
        <w:rPr>
          <w:color w:val="auto"/>
        </w:rPr>
        <w:instrText xml:space="preserve"> HYPERLINK "http://baike.baidu.com/view/435699.htm" \t "_blank" </w:instrText>
      </w:r>
      <w:r>
        <w:rPr>
          <w:color w:val="auto"/>
        </w:rPr>
        <w:fldChar w:fldCharType="separate"/>
      </w:r>
      <w:r>
        <w:rPr>
          <w:rFonts w:ascii="仿宋_GB2312" w:hAnsi="宋体" w:eastAsia="仿宋_GB2312" w:cs="Times New Roman"/>
          <w:color w:val="auto"/>
          <w:sz w:val="32"/>
          <w:szCs w:val="32"/>
        </w:rPr>
        <w:t>财政补助收入</w:t>
      </w:r>
      <w:r>
        <w:rPr>
          <w:rFonts w:ascii="仿宋_GB2312" w:hAnsi="宋体" w:eastAsia="仿宋_GB2312" w:cs="Times New Roman"/>
          <w:color w:val="auto"/>
          <w:sz w:val="32"/>
          <w:szCs w:val="32"/>
        </w:rPr>
        <w:fldChar w:fldCharType="end"/>
      </w:r>
      <w:r>
        <w:rPr>
          <w:rFonts w:ascii="仿宋_GB2312" w:hAnsi="宋体" w:eastAsia="仿宋_GB2312" w:cs="Times New Roman"/>
          <w:color w:val="auto"/>
          <w:sz w:val="32"/>
          <w:szCs w:val="32"/>
        </w:rPr>
        <w:t>，用于补助正常业务资金的不足</w:t>
      </w:r>
      <w:r>
        <w:rPr>
          <w:rFonts w:hint="eastAsia" w:ascii="仿宋_GB2312" w:hAnsi="宋体" w:eastAsia="仿宋_GB2312" w:cs="Times New Roman"/>
          <w:color w:val="auto"/>
          <w:sz w:val="32"/>
          <w:szCs w:val="32"/>
        </w:rPr>
        <w:t>。</w:t>
      </w:r>
    </w:p>
    <w:p>
      <w:pPr>
        <w:autoSpaceDE w:val="0"/>
        <w:autoSpaceDN w:val="0"/>
        <w:adjustRightInd w:val="0"/>
        <w:ind w:firstLine="640" w:firstLineChars="200"/>
        <w:jc w:val="left"/>
        <w:rPr>
          <w:rFonts w:ascii="仿宋_GB2312" w:hAnsi="宋体" w:eastAsia="仿宋_GB2312" w:cs="Times New Roman"/>
          <w:color w:val="auto"/>
          <w:sz w:val="32"/>
          <w:szCs w:val="32"/>
        </w:rPr>
      </w:pPr>
      <w:r>
        <w:rPr>
          <w:rFonts w:hint="eastAsia" w:ascii="仿宋_GB2312" w:eastAsia="仿宋_GB2312" w:cs="Times New Roman"/>
          <w:color w:val="auto"/>
          <w:sz w:val="32"/>
          <w:szCs w:val="32"/>
          <w:lang w:val="en-US" w:eastAsia="zh-CN"/>
        </w:rPr>
        <w:t>3</w:t>
      </w:r>
      <w:r>
        <w:rPr>
          <w:rFonts w:hint="eastAsia" w:ascii="仿宋_GB2312" w:hAnsi="宋体" w:eastAsia="仿宋_GB2312" w:cs="Times New Roman"/>
          <w:color w:val="auto"/>
          <w:sz w:val="32"/>
          <w:szCs w:val="32"/>
        </w:rPr>
        <w:t>、事业收入：指事业单位开展专业业务活动及辅助活动所取得的收入。如学校的学费收入、医院的医疗收入等。</w:t>
      </w:r>
    </w:p>
    <w:p>
      <w:pPr>
        <w:autoSpaceDE w:val="0"/>
        <w:autoSpaceDN w:val="0"/>
        <w:adjustRightInd w:val="0"/>
        <w:ind w:firstLine="640" w:firstLineChars="200"/>
        <w:jc w:val="left"/>
        <w:rPr>
          <w:rFonts w:ascii="仿宋_GB2312" w:hAnsi="宋体" w:eastAsia="仿宋_GB2312" w:cs="Times New Roman"/>
          <w:color w:val="auto"/>
          <w:sz w:val="32"/>
          <w:szCs w:val="32"/>
        </w:rPr>
      </w:pPr>
      <w:r>
        <w:rPr>
          <w:rFonts w:hint="eastAsia" w:ascii="仿宋_GB2312" w:eastAsia="仿宋_GB2312" w:cs="Times New Roman"/>
          <w:color w:val="auto"/>
          <w:sz w:val="32"/>
          <w:szCs w:val="32"/>
          <w:lang w:val="en-US" w:eastAsia="zh-CN"/>
        </w:rPr>
        <w:t>4</w:t>
      </w:r>
      <w:r>
        <w:rPr>
          <w:rFonts w:hint="eastAsia" w:ascii="仿宋_GB2312" w:hAnsi="宋体" w:eastAsia="仿宋_GB2312" w:cs="Times New Roman"/>
          <w:color w:val="auto"/>
          <w:sz w:val="32"/>
          <w:szCs w:val="32"/>
        </w:rPr>
        <w:t>、经营收入：指事业单位在专业业务活动及其辅助活动之外开展非独立核算经营活动取得的收入。</w:t>
      </w:r>
    </w:p>
    <w:p>
      <w:pPr>
        <w:autoSpaceDE w:val="0"/>
        <w:autoSpaceDN w:val="0"/>
        <w:adjustRightInd w:val="0"/>
        <w:ind w:firstLine="640" w:firstLineChars="200"/>
        <w:jc w:val="left"/>
        <w:rPr>
          <w:rFonts w:ascii="仿宋_GB2312" w:hAnsi="宋体" w:eastAsia="仿宋_GB2312" w:cs="Times New Roman"/>
          <w:color w:val="auto"/>
          <w:sz w:val="32"/>
          <w:szCs w:val="32"/>
        </w:rPr>
      </w:pPr>
      <w:r>
        <w:rPr>
          <w:rFonts w:hint="eastAsia" w:ascii="仿宋_GB2312" w:eastAsia="仿宋_GB2312" w:cs="Times New Roman"/>
          <w:color w:val="auto"/>
          <w:sz w:val="32"/>
          <w:szCs w:val="32"/>
          <w:lang w:val="en-US" w:eastAsia="zh-CN"/>
        </w:rPr>
        <w:t>5</w:t>
      </w:r>
      <w:r>
        <w:rPr>
          <w:rFonts w:hint="eastAsia" w:ascii="仿宋_GB2312" w:hAnsi="宋体" w:eastAsia="仿宋_GB2312" w:cs="Times New Roman"/>
          <w:color w:val="auto"/>
          <w:sz w:val="32"/>
          <w:szCs w:val="32"/>
        </w:rPr>
        <w:t>、附属单位缴款：</w:t>
      </w:r>
      <w:r>
        <w:rPr>
          <w:rFonts w:ascii="仿宋_GB2312" w:hAnsi="宋体" w:eastAsia="仿宋_GB2312" w:cs="Times New Roman"/>
          <w:color w:val="auto"/>
          <w:sz w:val="32"/>
          <w:szCs w:val="32"/>
        </w:rPr>
        <w:t>事业单位附属独立核算单位按有关规定上缴的收入</w:t>
      </w:r>
      <w:r>
        <w:rPr>
          <w:rFonts w:hint="eastAsia" w:ascii="仿宋_GB2312" w:hAnsi="宋体" w:eastAsia="仿宋_GB2312" w:cs="Times New Roman"/>
          <w:color w:val="auto"/>
          <w:sz w:val="32"/>
          <w:szCs w:val="32"/>
        </w:rPr>
        <w:t>。</w:t>
      </w:r>
    </w:p>
    <w:p>
      <w:pPr>
        <w:autoSpaceDE w:val="0"/>
        <w:autoSpaceDN w:val="0"/>
        <w:adjustRightInd w:val="0"/>
        <w:ind w:firstLine="640" w:firstLineChars="200"/>
        <w:jc w:val="left"/>
        <w:rPr>
          <w:rFonts w:hint="eastAsia" w:ascii="仿宋_GB2312" w:hAnsi="宋体" w:eastAsia="仿宋_GB2312" w:cs="Times New Roman"/>
          <w:color w:val="auto"/>
          <w:sz w:val="32"/>
          <w:szCs w:val="32"/>
        </w:rPr>
      </w:pPr>
      <w:r>
        <w:rPr>
          <w:rFonts w:hint="eastAsia" w:ascii="仿宋_GB2312" w:eastAsia="仿宋_GB2312" w:cs="Times New Roman"/>
          <w:color w:val="auto"/>
          <w:sz w:val="32"/>
          <w:szCs w:val="32"/>
          <w:lang w:val="en-US" w:eastAsia="zh-CN"/>
        </w:rPr>
        <w:t>6</w:t>
      </w:r>
      <w:r>
        <w:rPr>
          <w:rFonts w:hint="eastAsia" w:ascii="仿宋_GB2312" w:hAnsi="宋体" w:eastAsia="仿宋_GB2312" w:cs="Times New Roman"/>
          <w:color w:val="auto"/>
          <w:sz w:val="32"/>
          <w:szCs w:val="32"/>
        </w:rPr>
        <w:t>、其他收入：指除上述“财政拨款收入”、“事业收入”、“经营收入”等以外的收入。如饭堂收入、存款利息收入、租金收入、捐赠收入等。</w:t>
      </w:r>
    </w:p>
    <w:p>
      <w:pPr>
        <w:autoSpaceDE w:val="0"/>
        <w:autoSpaceDN w:val="0"/>
        <w:adjustRightInd w:val="0"/>
        <w:ind w:firstLine="643" w:firstLineChars="200"/>
        <w:jc w:val="left"/>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（二）支出科目名词解释</w:t>
      </w:r>
    </w:p>
    <w:p>
      <w:pPr>
        <w:autoSpaceDE w:val="0"/>
        <w:autoSpaceDN w:val="0"/>
        <w:adjustRightInd w:val="0"/>
        <w:ind w:firstLine="640" w:firstLineChars="200"/>
        <w:jc w:val="left"/>
        <w:rPr>
          <w:rFonts w:ascii="仿宋" w:hAnsi="仿宋" w:eastAsia="仿宋"/>
          <w:color w:val="auto"/>
          <w:sz w:val="32"/>
          <w:szCs w:val="32"/>
        </w:rPr>
      </w:pPr>
      <w:r>
        <w:rPr>
          <w:rFonts w:hint="eastAsia" w:ascii="仿宋" w:hAnsi="仿宋" w:eastAsia="仿宋"/>
          <w:color w:val="auto"/>
          <w:sz w:val="32"/>
          <w:szCs w:val="32"/>
        </w:rPr>
        <w:t>1.文化体育与传媒支出（类）：反映文化行政事业单位的基本支出、未单独设置项级科目的其他项目支出、反映举办文化艺术活动的支出、反映</w:t>
      </w:r>
      <w:r>
        <w:rPr>
          <w:rFonts w:hint="eastAsia" w:ascii="仿宋" w:hAnsi="仿宋" w:eastAsia="仿宋"/>
          <w:color w:val="auto"/>
          <w:sz w:val="32"/>
          <w:szCs w:val="32"/>
          <w:lang w:eastAsia="zh-CN"/>
        </w:rPr>
        <w:t>艺术创作</w:t>
      </w:r>
      <w:r>
        <w:rPr>
          <w:rFonts w:hint="eastAsia" w:ascii="仿宋" w:hAnsi="仿宋" w:eastAsia="仿宋"/>
          <w:color w:val="auto"/>
          <w:sz w:val="32"/>
          <w:szCs w:val="32"/>
        </w:rPr>
        <w:t>的支出</w:t>
      </w:r>
      <w:r>
        <w:rPr>
          <w:rFonts w:hint="eastAsia" w:ascii="仿宋" w:hAnsi="仿宋" w:eastAsia="仿宋"/>
          <w:color w:val="auto"/>
          <w:sz w:val="32"/>
          <w:szCs w:val="32"/>
          <w:lang w:eastAsia="zh-CN"/>
        </w:rPr>
        <w:t>、反映艺术交流的支出</w:t>
      </w:r>
      <w:r>
        <w:rPr>
          <w:rFonts w:hint="eastAsia" w:ascii="仿宋" w:hAnsi="仿宋" w:eastAsia="仿宋"/>
          <w:color w:val="auto"/>
          <w:sz w:val="32"/>
          <w:szCs w:val="32"/>
        </w:rPr>
        <w:t>。</w:t>
      </w:r>
    </w:p>
    <w:p>
      <w:pPr>
        <w:autoSpaceDE w:val="0"/>
        <w:autoSpaceDN w:val="0"/>
        <w:adjustRightInd w:val="0"/>
        <w:ind w:firstLine="640" w:firstLineChars="200"/>
        <w:jc w:val="left"/>
        <w:rPr>
          <w:rFonts w:hint="eastAsia" w:ascii="仿宋_GB2312" w:hAnsi="宋体" w:eastAsia="仿宋_GB2312" w:cs="Times New Roman"/>
          <w:color w:val="auto"/>
          <w:sz w:val="32"/>
          <w:szCs w:val="32"/>
        </w:rPr>
      </w:pPr>
      <w:r>
        <w:rPr>
          <w:rFonts w:hint="eastAsia" w:ascii="仿宋" w:hAnsi="仿宋" w:eastAsia="仿宋"/>
          <w:color w:val="auto"/>
          <w:sz w:val="32"/>
          <w:szCs w:val="32"/>
        </w:rPr>
        <w:t>2、社会保障和就业：反映实行归口管理的行政事业单位开支的离退休经费。</w:t>
      </w:r>
    </w:p>
    <w:p>
      <w:pPr>
        <w:autoSpaceDE w:val="0"/>
        <w:autoSpaceDN w:val="0"/>
        <w:adjustRightInd w:val="0"/>
        <w:ind w:firstLine="643" w:firstLineChars="200"/>
        <w:jc w:val="left"/>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（三）专业名词解释</w:t>
      </w:r>
    </w:p>
    <w:p>
      <w:pPr>
        <w:autoSpaceDE w:val="0"/>
        <w:autoSpaceDN w:val="0"/>
        <w:adjustRightInd w:val="0"/>
        <w:ind w:firstLine="640" w:firstLineChars="200"/>
        <w:jc w:val="left"/>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三公”经费：指财政拨款安排的因公出国（境）费、公务用车购置及运行维护费和公务接待。其中，因公出国（境）费反应单位公务出国（境）的国际旅费、国外城市间交通、住宿费、伙食费、培训费、公杂费待支出；公务车购置及运行费反映单位公务用车辆购置支出及租用费、燃料费、维修费、过路过桥费、保险费等支出；公务接待费反映单位按照规定开支的各类公务接待支出。</w:t>
      </w:r>
    </w:p>
    <w:p>
      <w:pPr>
        <w:autoSpaceDE w:val="0"/>
        <w:autoSpaceDN w:val="0"/>
        <w:adjustRightInd w:val="0"/>
        <w:ind w:firstLine="640" w:firstLineChars="200"/>
        <w:jc w:val="left"/>
        <w:rPr>
          <w:color w:val="auto"/>
        </w:rPr>
      </w:pPr>
      <w:r>
        <w:rPr>
          <w:rFonts w:hint="eastAsia" w:ascii="仿宋_GB2312" w:eastAsia="仿宋_GB2312" w:cs="Times New Roman"/>
          <w:color w:val="auto"/>
          <w:sz w:val="32"/>
          <w:szCs w:val="32"/>
          <w:lang w:val="en-US" w:eastAsia="zh-CN"/>
        </w:rPr>
        <w:t>2、机关运行经费：同保障行政单位（含参照公务员法管理的事业单位）运行用于购买货物和服务的各项资金，包括办公及印刷费、邮电费、差旅费、会议费、福利费、日常维修费、专用材料及一般设备设置费、办公用房水电费、办公用房取暧费、办公用房物业管理费、公务用车运行维护费及其他费用。</w:t>
      </w:r>
    </w:p>
    <w:p>
      <w:pPr>
        <w:rPr>
          <w:color w:val="auto"/>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瑵ě瑵.">
    <w:altName w:val="仿宋"/>
    <w:panose1 w:val="00000000000000000000"/>
    <w:charset w:val="86"/>
    <w:family w:val="roman"/>
    <w:pitch w:val="default"/>
    <w:sig w:usb0="00000000" w:usb1="00000000" w:usb2="00000000" w:usb3="00000000" w:csb0="00040000" w:csb1="00000000"/>
  </w:font>
  <w:font w:name="宋体 . . 瑵ě瑵 .">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4"/>
                              <w:szCs w:val="24"/>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r>
                            <w:rPr>
                              <w:rFonts w:hint="eastAsia"/>
                              <w:sz w:val="24"/>
                              <w:szCs w:val="24"/>
                              <w:lang w:eastAsia="zh-CN"/>
                            </w:rPr>
                            <w:t xml:space="preserve"> 页 共 </w:t>
                          </w:r>
                          <w:r>
                            <w:rPr>
                              <w:rFonts w:hint="eastAsia"/>
                              <w:sz w:val="24"/>
                              <w:szCs w:val="24"/>
                              <w:lang w:eastAsia="zh-CN"/>
                            </w:rPr>
                            <w:fldChar w:fldCharType="begin"/>
                          </w:r>
                          <w:r>
                            <w:rPr>
                              <w:rFonts w:hint="eastAsia"/>
                              <w:sz w:val="24"/>
                              <w:szCs w:val="24"/>
                              <w:lang w:eastAsia="zh-CN"/>
                            </w:rPr>
                            <w:instrText xml:space="preserve"> NUMPAGES  \* MERGEFORMAT </w:instrText>
                          </w:r>
                          <w:r>
                            <w:rPr>
                              <w:rFonts w:hint="eastAsia"/>
                              <w:sz w:val="24"/>
                              <w:szCs w:val="24"/>
                              <w:lang w:eastAsia="zh-CN"/>
                            </w:rPr>
                            <w:fldChar w:fldCharType="separate"/>
                          </w:r>
                          <w:r>
                            <w:rPr>
                              <w:rFonts w:hint="eastAsia"/>
                              <w:sz w:val="24"/>
                              <w:szCs w:val="24"/>
                              <w:lang w:eastAsia="zh-CN"/>
                            </w:rPr>
                            <w:t>19</w:t>
                          </w:r>
                          <w:r>
                            <w:rPr>
                              <w:rFonts w:hint="eastAsia"/>
                              <w:sz w:val="24"/>
                              <w:szCs w:val="24"/>
                              <w:lang w:eastAsia="zh-CN"/>
                            </w:rPr>
                            <w:fldChar w:fldCharType="end"/>
                          </w:r>
                          <w:r>
                            <w:rPr>
                              <w:rFonts w:hint="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24"/>
                        <w:szCs w:val="24"/>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r>
                      <w:rPr>
                        <w:rFonts w:hint="eastAsia"/>
                        <w:sz w:val="24"/>
                        <w:szCs w:val="24"/>
                        <w:lang w:eastAsia="zh-CN"/>
                      </w:rPr>
                      <w:t xml:space="preserve"> 页 共 </w:t>
                    </w:r>
                    <w:r>
                      <w:rPr>
                        <w:rFonts w:hint="eastAsia"/>
                        <w:sz w:val="24"/>
                        <w:szCs w:val="24"/>
                        <w:lang w:eastAsia="zh-CN"/>
                      </w:rPr>
                      <w:fldChar w:fldCharType="begin"/>
                    </w:r>
                    <w:r>
                      <w:rPr>
                        <w:rFonts w:hint="eastAsia"/>
                        <w:sz w:val="24"/>
                        <w:szCs w:val="24"/>
                        <w:lang w:eastAsia="zh-CN"/>
                      </w:rPr>
                      <w:instrText xml:space="preserve"> NUMPAGES  \* MERGEFORMAT </w:instrText>
                    </w:r>
                    <w:r>
                      <w:rPr>
                        <w:rFonts w:hint="eastAsia"/>
                        <w:sz w:val="24"/>
                        <w:szCs w:val="24"/>
                        <w:lang w:eastAsia="zh-CN"/>
                      </w:rPr>
                      <w:fldChar w:fldCharType="separate"/>
                    </w:r>
                    <w:r>
                      <w:rPr>
                        <w:rFonts w:hint="eastAsia"/>
                        <w:sz w:val="24"/>
                        <w:szCs w:val="24"/>
                        <w:lang w:eastAsia="zh-CN"/>
                      </w:rPr>
                      <w:t>19</w:t>
                    </w:r>
                    <w:r>
                      <w:rPr>
                        <w:rFonts w:hint="eastAsia"/>
                        <w:sz w:val="24"/>
                        <w:szCs w:val="24"/>
                        <w:lang w:eastAsia="zh-CN"/>
                      </w:rPr>
                      <w:fldChar w:fldCharType="end"/>
                    </w:r>
                    <w:r>
                      <w:rPr>
                        <w:rFonts w:hint="eastAsia"/>
                        <w:sz w:val="24"/>
                        <w:szCs w:val="24"/>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lang w:val="zh-CN"/>
      </w:rPr>
      <w:t>-</w:t>
    </w:r>
    <w:r>
      <w:rPr>
        <w:sz w:val="20"/>
        <w:szCs w:val="20"/>
      </w:rPr>
      <w:t xml:space="preserve"> 6 -</w:t>
    </w:r>
    <w:r>
      <w:rPr>
        <w:sz w:val="20"/>
        <w:szCs w:val="20"/>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F1B3B"/>
    <w:multiLevelType w:val="singleLevel"/>
    <w:tmpl w:val="EBBF1B3B"/>
    <w:lvl w:ilvl="0" w:tentative="0">
      <w:start w:val="2"/>
      <w:numFmt w:val="decimal"/>
      <w:lvlText w:val="%1."/>
      <w:lvlJc w:val="left"/>
      <w:pPr>
        <w:tabs>
          <w:tab w:val="left" w:pos="312"/>
        </w:tabs>
      </w:pPr>
    </w:lvl>
  </w:abstractNum>
  <w:abstractNum w:abstractNumId="1">
    <w:nsid w:val="33087BC0"/>
    <w:multiLevelType w:val="multilevel"/>
    <w:tmpl w:val="33087BC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BD90F84"/>
    <w:multiLevelType w:val="singleLevel"/>
    <w:tmpl w:val="5BD90F84"/>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OGJlZDgwZTc0ZDA1MjkyNzgyODZhN2FiNGMwZTQifQ=="/>
  </w:docVars>
  <w:rsids>
    <w:rsidRoot w:val="40D50635"/>
    <w:rsid w:val="0C377E44"/>
    <w:rsid w:val="15057B8B"/>
    <w:rsid w:val="40D50635"/>
    <w:rsid w:val="4A0A2B26"/>
    <w:rsid w:val="5993116F"/>
    <w:rsid w:val="5BFB3258"/>
    <w:rsid w:val="60A81428"/>
    <w:rsid w:val="649F40F9"/>
    <w:rsid w:val="665E0CF6"/>
    <w:rsid w:val="7B187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20"/>
    </w:pPr>
    <w:rPr>
      <w:sz w:val="30"/>
      <w:szCs w:val="3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Heading 3"/>
    <w:basedOn w:val="1"/>
    <w:qFormat/>
    <w:uiPriority w:val="0"/>
    <w:pPr>
      <w:ind w:left="119"/>
      <w:outlineLvl w:val="3"/>
    </w:pPr>
    <w:rPr>
      <w:sz w:val="32"/>
      <w:szCs w:val="32"/>
    </w:rPr>
  </w:style>
  <w:style w:type="paragraph" w:customStyle="1" w:styleId="8">
    <w:name w:val="Table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8062</Words>
  <Characters>10568</Characters>
  <Lines>0</Lines>
  <Paragraphs>0</Paragraphs>
  <TotalTime>1</TotalTime>
  <ScaleCrop>false</ScaleCrop>
  <LinksUpToDate>false</LinksUpToDate>
  <CharactersWithSpaces>11179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2019-02-15T08:51:00Z</dcterms:created>
  <dc:creator>Administrator</dc:creator>
  <cp:lastModifiedBy>cjm</cp:lastModifiedBy>
  <dcterms:modified xsi:type="dcterms:W3CDTF">2022-06-06T07:45:12Z</dcterms:modified>
  <dc:title>深圳市福田区文学艺术界联合会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777C4E43AF9B4C7C8AE5AB9111C0EDBE</vt:lpwstr>
  </property>
</Properties>
</file>