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ind w:left="-64" w:leftChars="-20"/>
        <w:jc w:val="center"/>
        <w:textAlignment w:val="auto"/>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z w:val="44"/>
          <w:szCs w:val="44"/>
          <w:highlight w:val="none"/>
        </w:rPr>
        <w:t>关于</w:t>
      </w:r>
      <w:r>
        <w:rPr>
          <w:rFonts w:hint="eastAsia" w:ascii="方正小标宋_GBK" w:hAnsi="方正小标宋_GBK" w:eastAsia="方正小标宋_GBK" w:cs="方正小标宋_GBK"/>
          <w:sz w:val="44"/>
          <w:szCs w:val="44"/>
        </w:rPr>
        <w:t>区第八届人民代表大会第二次会议代表</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eastAsia="方正小标宋_GBK"/>
          <w:sz w:val="44"/>
          <w:szCs w:val="44"/>
          <w:highlight w:val="none"/>
        </w:rPr>
      </w:pPr>
      <w:r>
        <w:rPr>
          <w:rFonts w:hint="eastAsia" w:ascii="方正小标宋_GBK" w:hAnsi="方正小标宋_GBK" w:eastAsia="方正小标宋_GBK" w:cs="方正小标宋_GBK"/>
          <w:sz w:val="44"/>
          <w:szCs w:val="44"/>
        </w:rPr>
        <w:t>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关于在福田区加强体教融合发展，推动多方合作共赢的建议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第20220172号</w:t>
      </w:r>
      <w:r>
        <w:rPr>
          <w:rFonts w:hint="eastAsia" w:ascii="方正小标宋_GBK" w:hAnsi="方正小标宋_GBK" w:eastAsia="方正小标宋_GBK" w:cs="方正小标宋_GBK"/>
          <w:sz w:val="44"/>
          <w:szCs w:val="44"/>
          <w:lang w:eastAsia="zh-CN"/>
        </w:rPr>
        <w:t>）</w:t>
      </w:r>
      <w:r>
        <w:rPr>
          <w:rFonts w:hint="eastAsia" w:ascii="方正小标宋_GBK" w:eastAsia="方正小标宋_GBK"/>
          <w:sz w:val="44"/>
          <w:szCs w:val="44"/>
          <w:highlight w:val="none"/>
        </w:rPr>
        <w:t>的</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r>
        <w:rPr>
          <w:rFonts w:hint="eastAsia" w:ascii="方正小标宋_GBK" w:eastAsia="方正小标宋_GBK"/>
          <w:sz w:val="44"/>
          <w:szCs w:val="44"/>
          <w:highlight w:val="none"/>
        </w:rPr>
        <w:t xml:space="preserve">回复意见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eastAsia="仿宋_GB2312" w:cs="仿宋_GB2312"/>
          <w:sz w:val="32"/>
          <w:szCs w:val="32"/>
        </w:rPr>
        <w:t>卞雪梅</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w:t>
      </w:r>
      <w:r>
        <w:rPr>
          <w:rFonts w:hint="eastAsia" w:ascii="仿宋_GB2312"/>
          <w:sz w:val="32"/>
          <w:szCs w:val="32"/>
          <w:highlight w:val="none"/>
          <w:lang w:eastAsia="zh-CN"/>
        </w:rPr>
        <w:t>八</w:t>
      </w:r>
      <w:r>
        <w:rPr>
          <w:rFonts w:hint="eastAsia" w:ascii="仿宋_GB2312" w:eastAsia="仿宋_GB2312"/>
          <w:sz w:val="32"/>
          <w:szCs w:val="32"/>
          <w:highlight w:val="none"/>
        </w:rPr>
        <w:t>届人大</w:t>
      </w:r>
      <w:r>
        <w:rPr>
          <w:rFonts w:hint="eastAsia" w:ascii="仿宋_GB2312"/>
          <w:sz w:val="32"/>
          <w:szCs w:val="32"/>
          <w:highlight w:val="none"/>
          <w:lang w:eastAsia="zh-CN"/>
        </w:rPr>
        <w:t>二</w:t>
      </w:r>
      <w:r>
        <w:rPr>
          <w:rFonts w:hint="eastAsia" w:ascii="仿宋_GB2312" w:eastAsia="仿宋_GB2312"/>
          <w:sz w:val="32"/>
          <w:szCs w:val="32"/>
          <w:highlight w:val="none"/>
        </w:rPr>
        <w:t>次会议</w:t>
      </w:r>
      <w:r>
        <w:rPr>
          <w:rFonts w:hint="eastAsia" w:ascii="仿宋_GB2312"/>
          <w:sz w:val="32"/>
          <w:szCs w:val="32"/>
          <w:highlight w:val="none"/>
          <w:lang w:eastAsia="zh-CN"/>
        </w:rPr>
        <w:t>上</w:t>
      </w:r>
      <w:r>
        <w:rPr>
          <w:rFonts w:hint="eastAsia" w:ascii="仿宋_GB2312" w:eastAsia="仿宋_GB2312"/>
          <w:sz w:val="32"/>
          <w:szCs w:val="32"/>
          <w:highlight w:val="none"/>
        </w:rPr>
        <w:t>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关于在福田区加强体教融合发展，推动多方合作共赢的建议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第20220</w:t>
      </w:r>
      <w:r>
        <w:rPr>
          <w:rFonts w:hint="eastAsia" w:ascii="仿宋_GB2312" w:hAnsi="仿宋_GB2312" w:cs="仿宋_GB2312"/>
          <w:sz w:val="32"/>
          <w:szCs w:val="32"/>
          <w:lang w:val="en-US" w:eastAsia="zh-CN"/>
        </w:rPr>
        <w:t>172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rPr>
        <w:t>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w:t>
      </w:r>
      <w:r>
        <w:rPr>
          <w:rFonts w:hint="eastAsia" w:ascii="仿宋_GB2312"/>
          <w:sz w:val="32"/>
          <w:szCs w:val="32"/>
          <w:highlight w:val="none"/>
          <w:lang w:eastAsia="zh-CN"/>
        </w:rPr>
        <w:t>局</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在上级体育行政部门的关心指导下，</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局立足辖区实际，围绕先行示范区建设目标，</w:t>
      </w:r>
      <w:r>
        <w:rPr>
          <w:rFonts w:hint="eastAsia" w:ascii="仿宋_GB2312" w:hAnsi="仿宋_GB2312" w:eastAsia="仿宋_GB2312" w:cs="仿宋_GB2312"/>
          <w:sz w:val="32"/>
          <w:szCs w:val="32"/>
          <w:lang w:eastAsia="zh-CN"/>
        </w:rPr>
        <w:t>积极探索“双减”政策下的体教融合新模式，</w:t>
      </w:r>
      <w:r>
        <w:rPr>
          <w:rFonts w:hint="eastAsia" w:ascii="仿宋_GB2312" w:hAnsi="仿宋_GB2312" w:eastAsia="仿宋_GB2312" w:cs="仿宋_GB2312"/>
          <w:i w:val="0"/>
          <w:caps w:val="0"/>
          <w:color w:val="auto"/>
          <w:spacing w:val="0"/>
          <w:sz w:val="32"/>
          <w:szCs w:val="32"/>
          <w:shd w:val="clear" w:fill="FFFFFF"/>
        </w:rPr>
        <w:t>引导学生积极参加体育运动，增加体育锻炼的时间,</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i w:val="0"/>
          <w:caps w:val="0"/>
          <w:color w:val="auto"/>
          <w:spacing w:val="0"/>
          <w:sz w:val="32"/>
          <w:szCs w:val="32"/>
          <w:shd w:val="clear" w:fill="FFFFFF"/>
        </w:rPr>
        <w:t>让学生在体育锻炼中享受乐趣、增强体质、健全人格、锤炼意志</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促进学生体质健康发展</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kinsoku/>
        <w:wordWrap/>
        <w:overflowPunct/>
        <w:topLinePunct w:val="0"/>
        <w:autoSpaceDE w:val="0"/>
        <w:autoSpaceDN/>
        <w:bidi w:val="0"/>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一、主要做法</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打造青少年体育后备人才培养体系</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深化培训和输送一体化机制，通过区校共建、区社共建、市区共建等多渠道培养青少年体育后备人才。</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建立训练基地，培育体教融合“新动能”。自2002年以来，福田区注重融合实效，重点依托福田区中小学校和社会体育培训机构建立体育训练基地，广泛开展体育训练，培养、输送优秀体育尖子，激发社会办赛活力，赛事规模增幅明显，新注册运动员突破万人，实现竞技体育成绩新突破。截至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年，已开展了7期训练基地评估和授牌工作，本周期共有体育训练基地120个。</w:t>
      </w:r>
    </w:p>
    <w:p>
      <w:pPr>
        <w:pStyle w:val="9"/>
        <w:keepNext w:val="0"/>
        <w:keepLines w:val="0"/>
        <w:pageBreakBefore w:val="0"/>
        <w:widowControl/>
        <w:kinsoku/>
        <w:wordWrap/>
        <w:overflowPunct/>
        <w:topLinePunct w:val="0"/>
        <w:autoSpaceDE w:val="0"/>
        <w:autoSpaceDN/>
        <w:bidi w:val="0"/>
        <w:adjustRightInd w:val="0"/>
        <w:snapToGrid w:val="0"/>
        <w:spacing w:line="560" w:lineRule="exact"/>
        <w:ind w:firstLine="480"/>
        <w:jc w:val="left"/>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2.</w:t>
      </w:r>
      <w:r>
        <w:rPr>
          <w:rFonts w:hint="eastAsia" w:ascii="仿宋_GB2312" w:hAnsi="仿宋_GB2312" w:eastAsia="仿宋_GB2312" w:cs="仿宋_GB2312"/>
          <w:sz w:val="32"/>
          <w:szCs w:val="32"/>
        </w:rPr>
        <w:t>导入专业培训，彰显体教融合“新形象”。构建小学—初中—高中“一条龙”竞技体育后备人才梯队培养路径，形成互相衔接、互为助力的人才培养体系。依托体育训练基地，给予适当的配套扶持经费，并积极引入社会资源合作开展课余训练，基本形成了体系健全、制度完善、协同育人、融合发展的青少年体育发展格局。</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做强市区共建，开创体教融合“新路径”。与深圳市体工大队、深圳市体育运动学校等市级单位合作共建，培养福田区高水平运动员，包括艺术体操、水球、网球、曲棍球、击剑、射击、举重等项目，为上级输送优秀后备竞技体育人才。</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搭建青少年体育赛事平台</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完善青少年体育赛事体系，充分利用各类资源，积极搭建赛事平台，形成促进青少年健康成长，培养体育后备人才的强大合力。</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构建高水平青少年锦标赛。每年开展“校际杯”、U系列赛、联赛、公开赛等组织形式多样、主体多元的青少年体育赛事，参赛运动员达1万余人，开展比赛20000余场次，以赛代培，以赛促训，赛训结合，夯实人才基础。</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打造专项资金名人赛事。创新“名人+”运作模式，自2012年起，设立每年1亿元规模的</w:t>
      </w:r>
      <w:r>
        <w:rPr>
          <w:rFonts w:hint="eastAsia" w:ascii="仿宋_GB2312" w:hAnsi="仿宋_GB2312" w:eastAsia="仿宋_GB2312" w:cs="仿宋_GB2312"/>
          <w:color w:val="000000"/>
          <w:sz w:val="32"/>
          <w:szCs w:val="32"/>
        </w:rPr>
        <w:t>“宣传文化体育事业发展专项资金”，吸引体育名人参与举办高水平青少年体育赛事。截至目前，共投入1.27亿元的资助资金，成功举办181项体育赛事，为青少年运动员搭建国外、国内高水平运动员的交流平台。</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共建青少年体育训练中心</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强化人才培养主阵地作用，促使学校、体校、社会组织“三大力量”互动合作、有效整合，打造青少年体育人才培养“最强阵容”。</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依托社会力量合作共建。充分利用体育名人资源，将易建联篮球训练中心、郑洁网球俱乐部等集全国高水平运动员选拔、培训、参赛为一体的专业训练机构打造成青少年体育训练中心。一是通过打造“易建联杯”全国三人篮球赛、“郑洁杯”全国青少年网球巡回赛、雷声国际青少年击剑公开赛等品牌赛事，促进高水平运动员的交流；二是通过举办薪火阵营公益篮球训练营、全国青少年网球菁英训练营，深入挖掘青少年竞技体育后备人才。</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依托学校合作共建。以辖区中小学改扩建为契机，植入规范化、多样化的指导意见，与学校共同谋划建设青少年体育训练中心。一方面，结合4:30课堂和阳光体育，将体育健身的理念导入课堂，普及推广；另一方面，在提高场地建设标准的同时，积极导入高水平赛事，匹配高水平师资力量，使优秀体育人才相对聚集，形成集群，构筑青少年体育训练中心。</w:t>
      </w:r>
    </w:p>
    <w:p>
      <w:pPr>
        <w:pStyle w:val="9"/>
        <w:keepNext w:val="0"/>
        <w:keepLines w:val="0"/>
        <w:pageBreakBefore w:val="0"/>
        <w:widowControl/>
        <w:numPr>
          <w:ilvl w:val="0"/>
          <w:numId w:val="0"/>
        </w:numPr>
        <w:kinsoku/>
        <w:wordWrap/>
        <w:overflowPunct/>
        <w:topLinePunct w:val="0"/>
        <w:autoSpaceDE w:val="0"/>
        <w:autoSpaceDN/>
        <w:bidi w:val="0"/>
        <w:adjustRightInd w:val="0"/>
        <w:snapToGrid w:val="0"/>
        <w:spacing w:line="579"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取得成绩</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举办的</w:t>
      </w:r>
      <w:r>
        <w:rPr>
          <w:rFonts w:hint="eastAsia" w:ascii="仿宋_GB2312" w:hAnsi="仿宋_GB2312" w:eastAsia="仿宋_GB2312" w:cs="仿宋_GB2312"/>
          <w:sz w:val="32"/>
          <w:szCs w:val="32"/>
        </w:rPr>
        <w:t>深圳市“体彩杯”少年儿童锦标赛</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，福田区获得全市团体总分及基础七项总分全市第一。2020年广东省青少年体育单项锦标赛，福田籍运动员代表深圳在游泳、水球、曲棍球等多个项目中斩获奖牌119枚，其中金牌58枚。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2021年“深圳市第十届运动会”上，福田区代表队斩获“团体总分第一”“八大基础项目团体总分第一”和“金牌总数第一”三个第一的历史最好成绩，</w:t>
      </w:r>
      <w:r>
        <w:rPr>
          <w:rFonts w:hint="eastAsia" w:ascii="仿宋_GB2312" w:hAnsi="仿宋_GB2312" w:eastAsia="仿宋_GB2312" w:cs="仿宋_GB2312"/>
          <w:sz w:val="32"/>
          <w:szCs w:val="32"/>
          <w:lang w:eastAsia="zh-CN"/>
        </w:rPr>
        <w:t>体教融合彰显成效。</w:t>
      </w:r>
    </w:p>
    <w:p>
      <w:pPr>
        <w:keepNext w:val="0"/>
        <w:keepLines w:val="0"/>
        <w:pageBreakBefore w:val="0"/>
        <w:numPr>
          <w:ilvl w:val="0"/>
          <w:numId w:val="1"/>
        </w:numPr>
        <w:kinsoku/>
        <w:wordWrap/>
        <w:overflowPunct/>
        <w:topLinePunct w:val="0"/>
        <w:autoSpaceDE w:val="0"/>
        <w:autoSpaceDN/>
        <w:bidi w:val="0"/>
        <w:spacing w:line="579"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下一步工作思路</w:t>
      </w:r>
    </w:p>
    <w:p>
      <w:pPr>
        <w:keepNext w:val="0"/>
        <w:keepLines w:val="0"/>
        <w:pageBreakBefore w:val="0"/>
        <w:numPr>
          <w:ilvl w:val="0"/>
          <w:numId w:val="0"/>
        </w:numPr>
        <w:kinsoku/>
        <w:wordWrap/>
        <w:overflowPunct/>
        <w:topLinePunct w:val="0"/>
        <w:autoSpaceDE w:val="0"/>
        <w:autoSpaceDN/>
        <w:bidi w:val="0"/>
        <w:spacing w:line="579"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积极推动学校体育场馆和社会公共体育场馆双向开放。</w:t>
      </w:r>
      <w:r>
        <w:rPr>
          <w:rFonts w:hint="eastAsia" w:ascii="仿宋_GB2312" w:hAnsi="仿宋_GB2312" w:eastAsia="仿宋_GB2312" w:cs="仿宋_GB2312"/>
          <w:sz w:val="32"/>
          <w:szCs w:val="32"/>
          <w:lang w:val="en-US" w:eastAsia="zh-CN"/>
        </w:rPr>
        <w:t>2019年，景田网球中心利用区位优势，率先与景田小学打造双向开放新模式，为该校二年级学生体育课提供网球场地和教练，协助组建校园网球队，每年为学校200多个学生提供网球课服务。今年，福强小学与深圳市体育中心共同合作创新，开展学校专业体育课程、科学运动指导、体育老师培训、课后兴趣培训等活动，举行了体育场馆委托运营签约仪式，确定在不同时段通过“一键预约”平台向社会开放学校体育场馆，进一步提升学校场馆开放水平和使用效率，为周边群众提供一个健身锻炼的好去处。</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下一步，我局将依托“一键预约”平台，</w:t>
      </w:r>
      <w:r>
        <w:rPr>
          <w:rFonts w:hint="eastAsia" w:ascii="仿宋_GB2312" w:hAnsi="仿宋_GB2312" w:eastAsia="仿宋_GB2312" w:cs="仿宋_GB2312"/>
          <w:i w:val="0"/>
          <w:caps w:val="0"/>
          <w:color w:val="333333"/>
          <w:spacing w:val="15"/>
          <w:sz w:val="32"/>
          <w:szCs w:val="32"/>
          <w:shd w:val="clear" w:fill="FFFFFF"/>
        </w:rPr>
        <w:t>进一步盘活现有存量资源，</w:t>
      </w:r>
      <w:r>
        <w:rPr>
          <w:rFonts w:hint="eastAsia" w:ascii="仿宋_GB2312" w:hAnsi="仿宋_GB2312" w:eastAsia="仿宋_GB2312" w:cs="仿宋_GB2312"/>
          <w:i w:val="0"/>
          <w:caps w:val="0"/>
          <w:color w:val="333333"/>
          <w:spacing w:val="15"/>
          <w:sz w:val="32"/>
          <w:szCs w:val="32"/>
          <w:shd w:val="clear" w:fill="FFFFFF"/>
          <w:lang w:eastAsia="zh-CN"/>
        </w:rPr>
        <w:t>扩大开放范围，</w:t>
      </w:r>
      <w:r>
        <w:rPr>
          <w:rFonts w:hint="eastAsia" w:ascii="仿宋_GB2312" w:hAnsi="仿宋_GB2312" w:eastAsia="仿宋_GB2312" w:cs="仿宋_GB2312"/>
          <w:sz w:val="32"/>
          <w:szCs w:val="32"/>
          <w:lang w:val="en-US" w:eastAsia="zh-CN"/>
        </w:rPr>
        <w:t>大力推动学校体育场馆对外开放和社会公共体育场馆对学校开放的“双向开放”模式，</w:t>
      </w:r>
      <w:r>
        <w:rPr>
          <w:rFonts w:hint="eastAsia" w:ascii="仿宋_GB2312" w:hAnsi="仿宋_GB2312" w:eastAsia="仿宋_GB2312" w:cs="仿宋_GB2312"/>
          <w:i w:val="0"/>
          <w:caps w:val="0"/>
          <w:color w:val="auto"/>
          <w:spacing w:val="15"/>
          <w:sz w:val="32"/>
          <w:szCs w:val="32"/>
          <w:shd w:val="clear" w:fill="FFFFFF"/>
        </w:rPr>
        <w:t>有效缓解广大青少年和人民群众日益增长的体育健身需求与体育场馆资源供给不足之间的矛盾，促进全民健身事业的繁荣发展。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2098" w:right="1474" w:bottom="1984" w:left="1587" w:header="851" w:footer="992" w:gutter="0"/>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true"/>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17NjtYAAAAIAQAADwAAAAAAAAABACAAAAA4AAAAZHJzL2Rvd25yZXYueG1s&#10;UEsBAhQAFAAAAAgAh07iQHXpqzPkAQAAowMAAA4AAAAAAAAAAQAgAAAAOwEAAGRycy9lMm9Eb2Mu&#10;eG1sUEsFBgAAAAAGAAYAWQEAAJEFAAAA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BB369"/>
    <w:multiLevelType w:val="singleLevel"/>
    <w:tmpl w:val="F93BB3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0"/>
  <w:drawingGridVerticalSpacing w:val="22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04B2A87"/>
    <w:rsid w:val="11F95925"/>
    <w:rsid w:val="15622CAE"/>
    <w:rsid w:val="21F93EE2"/>
    <w:rsid w:val="21FA4253"/>
    <w:rsid w:val="24B33883"/>
    <w:rsid w:val="27872A25"/>
    <w:rsid w:val="281C6C20"/>
    <w:rsid w:val="2B9221B7"/>
    <w:rsid w:val="2BED1C5F"/>
    <w:rsid w:val="31DA445F"/>
    <w:rsid w:val="37117EE7"/>
    <w:rsid w:val="3F096D13"/>
    <w:rsid w:val="41D21724"/>
    <w:rsid w:val="4BDA2011"/>
    <w:rsid w:val="4C9606CE"/>
    <w:rsid w:val="50FB0903"/>
    <w:rsid w:val="545E151B"/>
    <w:rsid w:val="57C25DA3"/>
    <w:rsid w:val="593228C1"/>
    <w:rsid w:val="5A8D3CB7"/>
    <w:rsid w:val="5F0379EA"/>
    <w:rsid w:val="63117B38"/>
    <w:rsid w:val="694E476B"/>
    <w:rsid w:val="6E5F74EA"/>
    <w:rsid w:val="77426DCF"/>
    <w:rsid w:val="77FA796C"/>
    <w:rsid w:val="7A1036EA"/>
    <w:rsid w:val="EFFB2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 w:type="paragraph" w:customStyle="1" w:styleId="9">
    <w:name w:val="msolistparagraph"/>
    <w:basedOn w:val="1"/>
    <w:qFormat/>
    <w:uiPriority w:val="0"/>
    <w:pPr>
      <w:ind w:firstLine="420" w:firstLineChars="200"/>
    </w:pPr>
    <w:rPr>
      <w:rFonts w:hint="eastAsia"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ZXQ</dc:creator>
  <cp:lastModifiedBy>zengxin1</cp:lastModifiedBy>
  <cp:lastPrinted>2020-07-01T10:46:00Z</cp:lastPrinted>
  <dcterms:modified xsi:type="dcterms:W3CDTF">2022-11-25T09:57:44Z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