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香蜜湖片区</w:t>
      </w:r>
      <w:r>
        <w:rPr>
          <w:rFonts w:hint="eastAsia" w:ascii="方正小标宋简体" w:hAnsi="方正小标宋简体" w:eastAsia="方正小标宋简体" w:cs="方正小标宋简体"/>
          <w:sz w:val="44"/>
          <w:szCs w:val="44"/>
          <w:lang w:eastAsia="zh-CN"/>
        </w:rPr>
        <w:t>金融业高质量</w:t>
      </w:r>
    </w:p>
    <w:p>
      <w:pPr>
        <w:adjustRightInd w:val="0"/>
        <w:snapToGrid w:val="0"/>
        <w:spacing w:line="540" w:lineRule="exact"/>
        <w:jc w:val="center"/>
        <w:rPr>
          <w:rFonts w:hint="eastAsia" w:ascii="方正小标宋简体" w:hAnsi="方正小标宋简体" w:eastAsia="方正小标宋简体" w:cs="宋体"/>
          <w:kern w:val="0"/>
          <w:sz w:val="44"/>
          <w:szCs w:val="44"/>
          <w:lang w:val="en-US" w:eastAsia="zh-CN"/>
        </w:rPr>
      </w:pPr>
      <w:r>
        <w:rPr>
          <w:rFonts w:hint="eastAsia" w:ascii="方正小标宋简体" w:hAnsi="方正小标宋简体" w:eastAsia="方正小标宋简体" w:cs="方正小标宋简体"/>
          <w:sz w:val="44"/>
          <w:szCs w:val="44"/>
          <w:lang w:eastAsia="zh-CN"/>
        </w:rPr>
        <w:t>发展行动方案课题研究</w:t>
      </w:r>
      <w:r>
        <w:rPr>
          <w:rFonts w:hint="eastAsia" w:ascii="方正小标宋简体" w:hAnsi="方正小标宋简体" w:eastAsia="方正小标宋简体" w:cs="方正小标宋简体"/>
          <w:sz w:val="44"/>
          <w:szCs w:val="44"/>
        </w:rPr>
        <w:t>采购</w:t>
      </w:r>
      <w:r>
        <w:rPr>
          <w:rFonts w:hint="eastAsia" w:ascii="方正小标宋简体" w:hAnsi="方正小标宋简体" w:eastAsia="方正小标宋简体" w:cs="宋体"/>
          <w:kern w:val="0"/>
          <w:sz w:val="44"/>
          <w:szCs w:val="44"/>
        </w:rPr>
        <w:t>需求</w:t>
      </w:r>
      <w:r>
        <w:rPr>
          <w:rFonts w:hint="eastAsia" w:ascii="方正小标宋简体" w:hAnsi="方正小标宋简体" w:eastAsia="方正小标宋简体" w:cs="宋体"/>
          <w:kern w:val="0"/>
          <w:sz w:val="44"/>
          <w:szCs w:val="44"/>
          <w:lang w:eastAsia="zh-CN"/>
        </w:rPr>
        <w:t>文件</w:t>
      </w:r>
    </w:p>
    <w:p>
      <w:pPr>
        <w:adjustRightInd w:val="0"/>
        <w:snapToGrid w:val="0"/>
        <w:spacing w:line="540" w:lineRule="exact"/>
        <w:ind w:firstLine="640" w:firstLineChars="200"/>
        <w:rPr>
          <w:rFonts w:ascii="黑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lang w:eastAsia="zh-CN"/>
        </w:rPr>
      </w:pPr>
      <w:r>
        <w:rPr>
          <w:rFonts w:hint="eastAsia" w:ascii="仿宋_GB2312" w:hAnsi="黑体" w:eastAsia="仿宋_GB2312" w:cs="黑体"/>
          <w:sz w:val="32"/>
          <w:szCs w:val="32"/>
          <w:lang w:eastAsia="zh-CN"/>
        </w:rPr>
        <w:t>为加快香蜜湖片区建设，理清片区金融业产业发展路径，香蜜湖片区建设发展事务中心本着“公开、公平、公正”的原则，拟通过采购服务开展香蜜湖片区金融业高质量发展行动方案课题研究，详细需求如下：</w:t>
      </w:r>
    </w:p>
    <w:p>
      <w:pPr>
        <w:adjustRightInd w:val="0"/>
        <w:snapToGrid w:val="0"/>
        <w:spacing w:line="540" w:lineRule="exact"/>
        <w:ind w:firstLine="640" w:firstLineChars="200"/>
        <w:rPr>
          <w:rFonts w:ascii="黑体" w:hAnsi="宋体" w:eastAsia="黑体" w:cs="黑体"/>
          <w:bCs/>
          <w:sz w:val="32"/>
          <w:szCs w:val="32"/>
        </w:rPr>
      </w:pPr>
      <w:r>
        <w:rPr>
          <w:rFonts w:hint="eastAsia" w:ascii="黑体" w:hAnsi="宋体" w:eastAsia="黑体" w:cs="黑体"/>
          <w:bCs/>
          <w:sz w:val="32"/>
          <w:szCs w:val="32"/>
        </w:rPr>
        <w:t>一、采购项目概况</w:t>
      </w:r>
    </w:p>
    <w:p>
      <w:pPr>
        <w:spacing w:line="540" w:lineRule="exact"/>
        <w:ind w:firstLine="640" w:firstLineChars="200"/>
        <w:rPr>
          <w:rFonts w:hint="eastAsia" w:ascii="仿宋_GB2312" w:hAnsi="仿宋_GB2312" w:eastAsia="仿宋_GB2312" w:cs="仿宋_GB2312"/>
          <w:bCs/>
          <w:kern w:val="0"/>
          <w:sz w:val="32"/>
          <w:szCs w:val="32"/>
          <w:lang w:eastAsia="zh-CN"/>
        </w:rPr>
      </w:pPr>
      <w:r>
        <w:rPr>
          <w:rFonts w:hint="eastAsia" w:ascii="楷体_GB2312" w:hAnsi="楷体_GB2312" w:eastAsia="楷体_GB2312" w:cs="楷体_GB2312"/>
          <w:bCs/>
          <w:kern w:val="0"/>
          <w:sz w:val="32"/>
          <w:szCs w:val="32"/>
        </w:rPr>
        <w:t>1.服务期</w:t>
      </w:r>
      <w:r>
        <w:rPr>
          <w:rFonts w:hint="eastAsia" w:ascii="楷体_GB2312" w:hAnsi="楷体_GB2312" w:eastAsia="楷体_GB2312" w:cs="楷体_GB2312"/>
          <w:bCs/>
          <w:kern w:val="0"/>
          <w:sz w:val="32"/>
          <w:szCs w:val="32"/>
          <w:lang w:eastAsia="zh-CN"/>
        </w:rPr>
        <w:t>限</w:t>
      </w:r>
      <w:r>
        <w:rPr>
          <w:rFonts w:hint="eastAsia" w:ascii="楷体_GB2312" w:hAnsi="楷体_GB2312" w:eastAsia="楷体_GB2312" w:cs="楷体_GB2312"/>
          <w:bCs/>
          <w:kern w:val="0"/>
          <w:sz w:val="32"/>
          <w:szCs w:val="32"/>
        </w:rPr>
        <w:t>：</w:t>
      </w:r>
      <w:r>
        <w:rPr>
          <w:rFonts w:hint="eastAsia" w:ascii="仿宋_GB2312" w:hAnsi="仿宋_GB2312" w:eastAsia="仿宋_GB2312" w:cs="仿宋_GB2312"/>
          <w:bCs/>
          <w:kern w:val="0"/>
          <w:sz w:val="32"/>
          <w:szCs w:val="32"/>
        </w:rPr>
        <w:t>自合同签订之日起</w:t>
      </w:r>
      <w:r>
        <w:rPr>
          <w:rFonts w:hint="eastAsia" w:ascii="仿宋_GB2312" w:hAnsi="仿宋_GB2312" w:eastAsia="仿宋_GB2312" w:cs="仿宋_GB2312"/>
          <w:bCs/>
          <w:kern w:val="0"/>
          <w:sz w:val="32"/>
          <w:szCs w:val="32"/>
          <w:lang w:val="en-US" w:eastAsia="zh-CN"/>
        </w:rPr>
        <w:t>6</w:t>
      </w:r>
      <w:r>
        <w:rPr>
          <w:rFonts w:hint="eastAsia" w:ascii="仿宋_GB2312" w:hAnsi="仿宋_GB2312" w:eastAsia="仿宋_GB2312" w:cs="仿宋_GB2312"/>
          <w:bCs/>
          <w:kern w:val="0"/>
          <w:sz w:val="32"/>
          <w:szCs w:val="32"/>
        </w:rPr>
        <w:t>个月内完成</w:t>
      </w:r>
      <w:r>
        <w:rPr>
          <w:rFonts w:hint="eastAsia" w:ascii="仿宋_GB2312" w:hAnsi="仿宋_GB2312" w:eastAsia="仿宋_GB2312" w:cs="仿宋_GB2312"/>
          <w:bCs/>
          <w:kern w:val="0"/>
          <w:sz w:val="32"/>
          <w:szCs w:val="32"/>
          <w:lang w:eastAsia="zh-CN"/>
        </w:rPr>
        <w:t>；</w:t>
      </w:r>
    </w:p>
    <w:p>
      <w:pPr>
        <w:spacing w:line="540" w:lineRule="exact"/>
        <w:ind w:firstLine="640" w:firstLineChars="200"/>
        <w:rPr>
          <w:rFonts w:hint="eastAsia" w:ascii="仿宋_GB2312" w:hAnsi="仿宋_GB2312" w:eastAsia="仿宋_GB2312" w:cs="仿宋_GB2312"/>
          <w:bCs/>
          <w:kern w:val="0"/>
          <w:sz w:val="32"/>
          <w:szCs w:val="32"/>
          <w:lang w:eastAsia="zh-CN"/>
        </w:rPr>
      </w:pPr>
      <w:r>
        <w:rPr>
          <w:rFonts w:hint="eastAsia" w:ascii="楷体_GB2312" w:hAnsi="楷体_GB2312" w:eastAsia="楷体_GB2312" w:cs="楷体_GB2312"/>
          <w:bCs/>
          <w:kern w:val="0"/>
          <w:sz w:val="32"/>
          <w:szCs w:val="32"/>
        </w:rPr>
        <w:t>2.服务地点：</w:t>
      </w:r>
      <w:r>
        <w:rPr>
          <w:rFonts w:hint="eastAsia" w:ascii="仿宋_GB2312" w:hAnsi="仿宋_GB2312" w:eastAsia="仿宋_GB2312" w:cs="仿宋_GB2312"/>
          <w:bCs/>
          <w:kern w:val="0"/>
          <w:sz w:val="32"/>
          <w:szCs w:val="32"/>
        </w:rPr>
        <w:t>深圳市福田区</w:t>
      </w:r>
      <w:r>
        <w:rPr>
          <w:rFonts w:hint="eastAsia" w:ascii="仿宋_GB2312" w:hAnsi="仿宋_GB2312" w:eastAsia="仿宋_GB2312" w:cs="仿宋_GB2312"/>
          <w:bCs/>
          <w:kern w:val="0"/>
          <w:sz w:val="32"/>
          <w:szCs w:val="32"/>
          <w:lang w:eastAsia="zh-CN"/>
        </w:rPr>
        <w:t>；</w:t>
      </w:r>
    </w:p>
    <w:p>
      <w:pPr>
        <w:spacing w:line="540" w:lineRule="exact"/>
        <w:ind w:firstLine="640" w:firstLineChars="200"/>
        <w:rPr>
          <w:rFonts w:hint="eastAsia" w:ascii="仿宋_GB2312" w:hAnsi="仿宋_GB2312" w:eastAsia="仿宋_GB2312" w:cs="仿宋_GB2312"/>
          <w:bCs/>
          <w:kern w:val="0"/>
          <w:sz w:val="32"/>
          <w:szCs w:val="32"/>
        </w:rPr>
      </w:pPr>
      <w:r>
        <w:rPr>
          <w:rFonts w:hint="eastAsia" w:ascii="楷体_GB2312" w:hAnsi="楷体_GB2312" w:eastAsia="楷体_GB2312" w:cs="楷体_GB2312"/>
          <w:bCs/>
          <w:kern w:val="0"/>
          <w:sz w:val="32"/>
          <w:szCs w:val="32"/>
        </w:rPr>
        <w:t>3.报价要求：</w:t>
      </w:r>
      <w:r>
        <w:rPr>
          <w:rFonts w:hint="eastAsia" w:ascii="仿宋_GB2312" w:hAnsi="仿宋_GB2312" w:eastAsia="仿宋_GB2312" w:cs="仿宋_GB2312"/>
          <w:bCs/>
          <w:kern w:val="0"/>
          <w:sz w:val="32"/>
          <w:szCs w:val="32"/>
        </w:rPr>
        <w:t>本</w:t>
      </w:r>
      <w:r>
        <w:rPr>
          <w:rFonts w:hint="eastAsia" w:ascii="仿宋_GB2312" w:hAnsi="仿宋_GB2312" w:eastAsia="仿宋_GB2312" w:cs="仿宋_GB2312"/>
          <w:bCs/>
          <w:kern w:val="0"/>
          <w:sz w:val="32"/>
          <w:szCs w:val="32"/>
          <w:lang w:eastAsia="zh-CN"/>
        </w:rPr>
        <w:t>次采购控制价为人民币</w:t>
      </w:r>
      <w:r>
        <w:rPr>
          <w:rFonts w:hint="eastAsia" w:ascii="仿宋_GB2312" w:hAnsi="仿宋_GB2312" w:eastAsia="仿宋_GB2312" w:cs="仿宋_GB2312"/>
          <w:bCs/>
          <w:kern w:val="0"/>
          <w:sz w:val="32"/>
          <w:szCs w:val="32"/>
          <w:lang w:val="en-US" w:eastAsia="zh-CN"/>
        </w:rPr>
        <w:t>45.2</w:t>
      </w:r>
      <w:r>
        <w:rPr>
          <w:rFonts w:hint="eastAsia" w:ascii="仿宋_GB2312" w:hAnsi="仿宋_GB2312" w:eastAsia="仿宋_GB2312" w:cs="仿宋_GB2312"/>
          <w:bCs/>
          <w:kern w:val="0"/>
          <w:sz w:val="32"/>
          <w:szCs w:val="32"/>
        </w:rPr>
        <w:t>万</w:t>
      </w:r>
      <w:r>
        <w:rPr>
          <w:rFonts w:hint="eastAsia" w:ascii="仿宋_GB2312" w:hAnsi="仿宋_GB2312" w:eastAsia="仿宋_GB2312" w:cs="仿宋_GB2312"/>
          <w:bCs/>
          <w:kern w:val="0"/>
          <w:sz w:val="32"/>
          <w:szCs w:val="32"/>
          <w:lang w:eastAsia="zh-CN"/>
        </w:rPr>
        <w:t>元。</w:t>
      </w:r>
    </w:p>
    <w:p>
      <w:pPr>
        <w:numPr>
          <w:ilvl w:val="0"/>
          <w:numId w:val="1"/>
        </w:numPr>
        <w:adjustRightInd w:val="0"/>
        <w:snapToGrid w:val="0"/>
        <w:spacing w:line="540" w:lineRule="exact"/>
        <w:ind w:firstLine="640" w:firstLineChars="200"/>
        <w:rPr>
          <w:rFonts w:ascii="黑体" w:hAnsi="宋体" w:eastAsia="黑体" w:cs="黑体"/>
          <w:bCs/>
          <w:sz w:val="32"/>
          <w:szCs w:val="32"/>
        </w:rPr>
      </w:pPr>
      <w:r>
        <w:rPr>
          <w:rFonts w:hint="eastAsia" w:ascii="黑体" w:hAnsi="宋体" w:eastAsia="黑体" w:cs="黑体"/>
          <w:bCs/>
          <w:sz w:val="32"/>
          <w:szCs w:val="32"/>
        </w:rPr>
        <w:t>服务和管理要求</w:t>
      </w:r>
    </w:p>
    <w:p>
      <w:pPr>
        <w:adjustRightInd w:val="0"/>
        <w:snapToGrid w:val="0"/>
        <w:spacing w:line="540" w:lineRule="exact"/>
        <w:ind w:firstLine="640" w:firstLineChars="200"/>
        <w:rPr>
          <w:rFonts w:hint="eastAsia" w:ascii="楷体_GB2312" w:hAnsi="楷体_GB2312" w:eastAsia="楷体_GB2312" w:cs="楷体_GB2312"/>
          <w:b w:val="0"/>
          <w:bCs/>
          <w:kern w:val="0"/>
          <w:sz w:val="32"/>
          <w:szCs w:val="32"/>
          <w:lang w:eastAsia="zh-CN"/>
        </w:rPr>
      </w:pPr>
      <w:bookmarkStart w:id="0" w:name="_Toc71207761"/>
      <w:r>
        <w:rPr>
          <w:rFonts w:hint="eastAsia" w:ascii="楷体_GB2312" w:hAnsi="楷体_GB2312" w:eastAsia="楷体_GB2312" w:cs="楷体_GB2312"/>
          <w:b w:val="0"/>
          <w:bCs/>
          <w:kern w:val="0"/>
          <w:sz w:val="32"/>
          <w:szCs w:val="32"/>
        </w:rPr>
        <w:t>1.</w:t>
      </w:r>
      <w:bookmarkEnd w:id="0"/>
      <w:r>
        <w:rPr>
          <w:rFonts w:hint="eastAsia" w:ascii="楷体_GB2312" w:hAnsi="楷体_GB2312" w:eastAsia="楷体_GB2312" w:cs="楷体_GB2312"/>
          <w:b w:val="0"/>
          <w:bCs/>
          <w:kern w:val="0"/>
          <w:sz w:val="32"/>
          <w:szCs w:val="32"/>
          <w:lang w:eastAsia="zh-CN"/>
        </w:rPr>
        <w:t>服务内容要求</w:t>
      </w:r>
    </w:p>
    <w:p>
      <w:pPr>
        <w:adjustRightInd w:val="0"/>
        <w:snapToGrid w:val="0"/>
        <w:spacing w:line="540" w:lineRule="exact"/>
        <w:ind w:firstLine="640" w:firstLineChars="200"/>
        <w:rPr>
          <w:rFonts w:hint="eastAsia" w:ascii="楷体_GB2312" w:hAnsi="楷体_GB2312" w:eastAsia="楷体_GB2312" w:cs="楷体_GB2312"/>
          <w:b w:val="0"/>
          <w:bCs/>
          <w:kern w:val="0"/>
          <w:sz w:val="32"/>
          <w:szCs w:val="32"/>
          <w:lang w:val="en-US" w:eastAsia="zh-CN"/>
        </w:rPr>
      </w:pPr>
      <w:r>
        <w:rPr>
          <w:rFonts w:hint="eastAsia" w:ascii="仿宋_GB2312" w:hAnsi="仿宋_GB2312" w:eastAsia="仿宋_GB2312" w:cs="仿宋_GB2312"/>
          <w:sz w:val="32"/>
          <w:szCs w:val="32"/>
          <w:lang w:val="en-US" w:eastAsia="zh-CN"/>
        </w:rPr>
        <w:t>课题内容包括但不限于：行业发展背景、片区产业发展方向与机遇分析、片区产业高质量发展实施措施与政策保障等。</w:t>
      </w:r>
    </w:p>
    <w:p>
      <w:pPr>
        <w:adjustRightInd w:val="0"/>
        <w:snapToGrid w:val="0"/>
        <w:spacing w:line="540" w:lineRule="exact"/>
        <w:ind w:firstLine="640" w:firstLineChars="200"/>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lang w:val="en-US" w:eastAsia="zh-CN"/>
        </w:rPr>
        <w:t>2.</w:t>
      </w:r>
      <w:r>
        <w:rPr>
          <w:rFonts w:hint="eastAsia" w:ascii="楷体_GB2312" w:hAnsi="楷体_GB2312" w:eastAsia="楷体_GB2312" w:cs="楷体_GB2312"/>
          <w:b w:val="0"/>
          <w:bCs/>
          <w:kern w:val="0"/>
          <w:sz w:val="32"/>
          <w:szCs w:val="32"/>
          <w:lang w:val="en" w:eastAsia="zh-CN"/>
        </w:rPr>
        <w:t>服务成果要求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本</w:t>
      </w:r>
      <w:r>
        <w:rPr>
          <w:rFonts w:hint="eastAsia" w:ascii="仿宋_GB2312" w:eastAsia="仿宋_GB2312" w:cs="Times New Roman"/>
          <w:sz w:val="32"/>
          <w:szCs w:val="32"/>
          <w:lang w:eastAsia="zh-CN"/>
        </w:rPr>
        <w:t>次采购服务成果</w:t>
      </w:r>
      <w:r>
        <w:rPr>
          <w:rFonts w:hint="eastAsia" w:ascii="仿宋_GB2312" w:eastAsia="仿宋_GB2312" w:cs="Times New Roman"/>
          <w:sz w:val="32"/>
          <w:szCs w:val="32"/>
        </w:rPr>
        <w:t>包括：《香蜜湖片区产业发展策略研究报告》《香蜜湖片区金融高质量发展行动纲要》</w:t>
      </w:r>
      <w:r>
        <w:rPr>
          <w:rFonts w:hint="eastAsia" w:ascii="仿宋_GB2312" w:eastAsia="仿宋_GB2312" w:cs="Times New Roman"/>
          <w:sz w:val="32"/>
          <w:szCs w:val="32"/>
          <w:lang w:eastAsia="zh-CN"/>
        </w:rPr>
        <w:t>等</w:t>
      </w:r>
      <w:r>
        <w:rPr>
          <w:rFonts w:hint="eastAsia" w:ascii="仿宋_GB2312" w:eastAsia="仿宋_GB2312" w:cs="Times New Roman"/>
          <w:sz w:val="32"/>
          <w:szCs w:val="32"/>
        </w:rPr>
        <w:t>。</w:t>
      </w:r>
    </w:p>
    <w:p>
      <w:pPr>
        <w:spacing w:line="540" w:lineRule="exact"/>
        <w:ind w:firstLine="640" w:firstLineChars="200"/>
        <w:rPr>
          <w:rFonts w:hint="eastAsia" w:ascii="黑体" w:hAnsi="宋体" w:eastAsia="黑体" w:cs="黑体"/>
          <w:bCs/>
          <w:sz w:val="32"/>
          <w:szCs w:val="32"/>
        </w:rPr>
      </w:pPr>
      <w:r>
        <w:rPr>
          <w:rFonts w:hint="eastAsia" w:ascii="黑体" w:hAnsi="宋体" w:eastAsia="黑体" w:cs="黑体"/>
          <w:bCs/>
          <w:sz w:val="32"/>
          <w:szCs w:val="32"/>
          <w:lang w:eastAsia="zh-CN"/>
        </w:rPr>
        <w:t>三、</w:t>
      </w:r>
      <w:r>
        <w:rPr>
          <w:rFonts w:hint="eastAsia" w:ascii="黑体" w:hAnsi="宋体" w:eastAsia="黑体" w:cs="黑体"/>
          <w:bCs/>
          <w:sz w:val="32"/>
          <w:szCs w:val="32"/>
        </w:rPr>
        <w:t>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lang w:val="en-US" w:eastAsia="zh-CN"/>
        </w:rPr>
        <w:t>1.</w:t>
      </w:r>
      <w:r>
        <w:rPr>
          <w:rFonts w:hint="eastAsia" w:ascii="仿宋_GB2312" w:eastAsia="仿宋_GB2312" w:cs="Times New Roman"/>
          <w:sz w:val="32"/>
          <w:szCs w:val="32"/>
        </w:rPr>
        <w:t>供应商应具备《中华人民共和国政府采购法》第二十二条规定</w:t>
      </w:r>
      <w:r>
        <w:rPr>
          <w:rFonts w:hint="eastAsia" w:ascii="仿宋_GB2312" w:eastAsia="仿宋_GB2312" w:cs="Times New Roman"/>
          <w:sz w:val="32"/>
          <w:szCs w:val="32"/>
          <w:lang w:eastAsia="zh-CN"/>
        </w:rPr>
        <w:t>所列的相应条件</w:t>
      </w:r>
      <w:r>
        <w:rPr>
          <w:rFonts w:hint="eastAsia" w:ascii="仿宋_GB2312"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须为在中华人民共和国境内注册，能够独立承担民事责任的本国供应商。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CN"/>
        </w:rPr>
      </w:pPr>
      <w:r>
        <w:rPr>
          <w:rFonts w:hint="eastAsia" w:ascii="仿宋_GB2312" w:eastAsia="仿宋_GB2312" w:cs="Times New Roman"/>
          <w:sz w:val="32"/>
          <w:szCs w:val="32"/>
          <w:lang w:val="en-US" w:eastAsia="zh-CN"/>
        </w:rPr>
        <w:t>3.</w:t>
      </w:r>
      <w:r>
        <w:rPr>
          <w:rFonts w:hint="eastAsia" w:ascii="仿宋_GB2312" w:eastAsia="仿宋_GB2312" w:cs="Times New Roman"/>
          <w:sz w:val="32"/>
          <w:szCs w:val="32"/>
          <w:lang w:eastAsia="zh-CN"/>
        </w:rPr>
        <w:t>供应商团队应具备有政府课题研究同类项目经验。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参与本项目政府采购活动时不存在被有关部门禁止参与政府采购活动且在有效期内的情况。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供应商提供未被列入失信被执行人、重大税收违法案件当事人名单、政府采购严重违法失信行为记录查询名单。</w:t>
      </w:r>
    </w:p>
    <w:p>
      <w:pPr>
        <w:spacing w:line="540" w:lineRule="exact"/>
        <w:ind w:firstLine="640" w:firstLineChars="200"/>
        <w:rPr>
          <w:rFonts w:hint="eastAsia" w:ascii="黑体" w:hAnsi="宋体" w:eastAsia="黑体" w:cs="黑体"/>
          <w:bCs/>
          <w:sz w:val="32"/>
          <w:szCs w:val="32"/>
          <w:lang w:eastAsia="zh-CN"/>
        </w:rPr>
      </w:pPr>
      <w:r>
        <w:rPr>
          <w:rFonts w:hint="eastAsia" w:ascii="黑体" w:hAnsi="宋体" w:eastAsia="黑体" w:cs="黑体"/>
          <w:bCs/>
          <w:sz w:val="32"/>
          <w:szCs w:val="32"/>
          <w:lang w:eastAsia="zh-CN"/>
        </w:rPr>
        <w:t>四</w:t>
      </w:r>
      <w:r>
        <w:rPr>
          <w:rFonts w:hint="eastAsia" w:ascii="黑体" w:hAnsi="宋体" w:eastAsia="黑体" w:cs="黑体"/>
          <w:bCs/>
          <w:sz w:val="32"/>
          <w:szCs w:val="32"/>
        </w:rPr>
        <w:t>、</w:t>
      </w:r>
      <w:r>
        <w:rPr>
          <w:rFonts w:hint="eastAsia" w:ascii="黑体" w:hAnsi="宋体" w:eastAsia="黑体" w:cs="黑体"/>
          <w:bCs/>
          <w:sz w:val="32"/>
          <w:szCs w:val="32"/>
          <w:lang w:eastAsia="zh-CN"/>
        </w:rPr>
        <w:t>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eastAsia="仿宋_GB2312"/>
          <w:lang w:eastAsia="zh-CN"/>
        </w:rPr>
      </w:pPr>
      <w:r>
        <w:rPr>
          <w:rFonts w:hint="eastAsia" w:ascii="仿宋_GB2312" w:hAnsi="sans-serif" w:eastAsia="仿宋_GB2312" w:cs="仿宋_GB2312"/>
          <w:i w:val="0"/>
          <w:caps w:val="0"/>
          <w:color w:val="auto"/>
          <w:spacing w:val="0"/>
          <w:kern w:val="0"/>
          <w:sz w:val="32"/>
          <w:szCs w:val="32"/>
          <w:shd w:val="clear" w:color="auto" w:fill="FFFFFF"/>
          <w:lang w:val="en-US" w:eastAsia="zh-CN" w:bidi="ar"/>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eastAsia="zh-CN"/>
        </w:rPr>
        <w:t>至</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eastAsia="zh-CN"/>
        </w:rPr>
        <w:t>。</w:t>
      </w:r>
    </w:p>
    <w:p>
      <w:pPr>
        <w:spacing w:line="540" w:lineRule="exact"/>
        <w:ind w:firstLine="640" w:firstLineChars="200"/>
        <w:rPr>
          <w:rFonts w:hint="eastAsia" w:ascii="黑体" w:hAnsi="宋体" w:eastAsia="黑体" w:cs="黑体"/>
          <w:bCs/>
          <w:sz w:val="32"/>
          <w:szCs w:val="32"/>
          <w:lang w:eastAsia="zh-CN"/>
        </w:rPr>
      </w:pPr>
      <w:r>
        <w:rPr>
          <w:rFonts w:hint="eastAsia" w:ascii="黑体" w:hAnsi="宋体" w:eastAsia="黑体" w:cs="黑体"/>
          <w:bCs/>
          <w:sz w:val="32"/>
          <w:szCs w:val="32"/>
          <w:lang w:eastAsia="zh-CN"/>
        </w:rPr>
        <w:t>五、</w:t>
      </w:r>
      <w:r>
        <w:rPr>
          <w:rFonts w:hint="eastAsia" w:ascii="黑体" w:hAnsi="宋体" w:eastAsia="黑体" w:cs="黑体"/>
          <w:bCs/>
          <w:sz w:val="32"/>
          <w:szCs w:val="32"/>
        </w:rPr>
        <w:t>响应</w:t>
      </w:r>
      <w:r>
        <w:rPr>
          <w:rFonts w:hint="eastAsia" w:ascii="黑体" w:hAnsi="宋体" w:eastAsia="黑体" w:cs="黑体"/>
          <w:bCs/>
          <w:sz w:val="32"/>
          <w:szCs w:val="32"/>
          <w:lang w:eastAsia="zh-CN"/>
        </w:rPr>
        <w:t>须知</w:t>
      </w:r>
    </w:p>
    <w:p>
      <w:pPr>
        <w:spacing w:line="540" w:lineRule="exact"/>
        <w:ind w:firstLine="640" w:firstLineChars="200"/>
        <w:rPr>
          <w:rFonts w:hint="eastAsia" w:ascii="楷体_GB2312" w:hAnsi="楷体_GB2312" w:eastAsia="楷体_GB2312" w:cs="楷体_GB2312"/>
          <w:bCs/>
          <w:kern w:val="0"/>
          <w:sz w:val="32"/>
          <w:szCs w:val="32"/>
          <w:lang w:eastAsia="zh-CN"/>
        </w:rPr>
      </w:pPr>
      <w:r>
        <w:rPr>
          <w:rFonts w:hint="eastAsia" w:ascii="楷体_GB2312" w:hAnsi="楷体_GB2312" w:eastAsia="楷体_GB2312" w:cs="楷体_GB2312"/>
          <w:bCs/>
          <w:kern w:val="0"/>
          <w:sz w:val="32"/>
          <w:szCs w:val="32"/>
          <w:lang w:eastAsia="zh-CN"/>
        </w:rPr>
        <w:t>（一）响应文件要求</w:t>
      </w:r>
      <w:r>
        <w:rPr>
          <w:rFonts w:hint="eastAsia" w:ascii="楷体_GB2312" w:hAnsi="楷体_GB2312" w:eastAsia="楷体_GB2312" w:cs="楷体_GB2312"/>
          <w:bCs/>
          <w:kern w:val="0"/>
          <w:sz w:val="32"/>
          <w:szCs w:val="32"/>
        </w:rPr>
        <w:t>包括</w:t>
      </w:r>
      <w:r>
        <w:rPr>
          <w:rFonts w:hint="eastAsia" w:ascii="楷体_GB2312" w:hAnsi="楷体_GB2312" w:eastAsia="楷体_GB2312" w:cs="楷体_GB2312"/>
          <w:bCs/>
          <w:kern w:val="0"/>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sans-serif" w:eastAsia="仿宋_GB2312" w:cs="仿宋_GB2312"/>
          <w:i w:val="0"/>
          <w:caps w:val="0"/>
          <w:color w:val="auto"/>
          <w:spacing w:val="0"/>
          <w:kern w:val="0"/>
          <w:sz w:val="32"/>
          <w:szCs w:val="32"/>
          <w:shd w:val="clear" w:color="auto" w:fill="FFFFFF"/>
          <w:lang w:val="en-US" w:eastAsia="zh-CN" w:bidi="ar"/>
        </w:rPr>
      </w:pPr>
      <w:r>
        <w:rPr>
          <w:rFonts w:hint="eastAsia" w:ascii="仿宋_GB2312" w:hAnsi="sans-serif" w:eastAsia="仿宋_GB2312" w:cs="仿宋_GB2312"/>
          <w:i w:val="0"/>
          <w:caps w:val="0"/>
          <w:color w:val="auto"/>
          <w:spacing w:val="0"/>
          <w:kern w:val="0"/>
          <w:sz w:val="32"/>
          <w:szCs w:val="32"/>
          <w:shd w:val="clear" w:color="auto" w:fill="FFFFFF"/>
          <w:lang w:val="en-US" w:eastAsia="zh-CN" w:bidi="ar"/>
        </w:rPr>
        <w:t>1、服务方案及报价；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sans-serif" w:eastAsia="仿宋_GB2312" w:cs="仿宋_GB2312"/>
          <w:i w:val="0"/>
          <w:caps w:val="0"/>
          <w:color w:val="auto"/>
          <w:spacing w:val="0"/>
          <w:kern w:val="0"/>
          <w:sz w:val="32"/>
          <w:szCs w:val="32"/>
          <w:shd w:val="clear" w:color="auto" w:fill="FFFFFF"/>
          <w:lang w:val="en-US" w:eastAsia="zh-CN" w:bidi="ar"/>
        </w:rPr>
      </w:pPr>
      <w:r>
        <w:rPr>
          <w:rFonts w:hint="eastAsia" w:ascii="仿宋_GB2312" w:hAnsi="sans-serif" w:eastAsia="仿宋_GB2312" w:cs="仿宋_GB2312"/>
          <w:i w:val="0"/>
          <w:caps w:val="0"/>
          <w:color w:val="auto"/>
          <w:spacing w:val="0"/>
          <w:kern w:val="0"/>
          <w:sz w:val="32"/>
          <w:szCs w:val="32"/>
          <w:shd w:val="clear" w:color="auto" w:fill="FFFFFF"/>
          <w:lang w:val="en-US" w:eastAsia="zh-CN" w:bidi="ar"/>
        </w:rPr>
        <w:t>2、公司简介及营业执照；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sans-serif" w:eastAsia="仿宋_GB2312" w:cs="仿宋_GB2312"/>
          <w:i w:val="0"/>
          <w:caps w:val="0"/>
          <w:color w:val="auto"/>
          <w:spacing w:val="0"/>
          <w:kern w:val="0"/>
          <w:sz w:val="32"/>
          <w:szCs w:val="32"/>
          <w:shd w:val="clear" w:color="auto" w:fill="FFFFFF"/>
          <w:lang w:val="en-US" w:eastAsia="zh-CN" w:bidi="ar"/>
        </w:rPr>
      </w:pPr>
      <w:r>
        <w:rPr>
          <w:rFonts w:hint="eastAsia" w:ascii="仿宋_GB2312" w:hAnsi="sans-serif" w:eastAsia="仿宋_GB2312" w:cs="仿宋_GB2312"/>
          <w:i w:val="0"/>
          <w:caps w:val="0"/>
          <w:color w:val="auto"/>
          <w:spacing w:val="0"/>
          <w:kern w:val="0"/>
          <w:sz w:val="32"/>
          <w:szCs w:val="32"/>
          <w:shd w:val="clear" w:color="auto" w:fill="FFFFFF"/>
          <w:lang w:val="en-US" w:eastAsia="zh-CN" w:bidi="ar"/>
        </w:rPr>
        <w:t>3、法人委托授权书原件；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sans-serif" w:eastAsia="仿宋_GB2312" w:cs="仿宋_GB2312"/>
          <w:i w:val="0"/>
          <w:caps w:val="0"/>
          <w:color w:val="auto"/>
          <w:spacing w:val="0"/>
          <w:kern w:val="0"/>
          <w:sz w:val="32"/>
          <w:szCs w:val="32"/>
          <w:shd w:val="clear" w:color="auto" w:fill="FFFFFF"/>
          <w:lang w:val="en-US" w:eastAsia="zh-CN" w:bidi="ar"/>
        </w:rPr>
      </w:pPr>
      <w:r>
        <w:rPr>
          <w:rFonts w:hint="eastAsia" w:ascii="仿宋_GB2312" w:hAnsi="sans-serif" w:eastAsia="仿宋_GB2312" w:cs="仿宋_GB2312"/>
          <w:i w:val="0"/>
          <w:caps w:val="0"/>
          <w:color w:val="auto"/>
          <w:spacing w:val="0"/>
          <w:kern w:val="0"/>
          <w:sz w:val="32"/>
          <w:szCs w:val="32"/>
          <w:shd w:val="clear" w:color="auto" w:fill="FFFFFF"/>
          <w:lang w:val="en-US" w:eastAsia="zh-CN" w:bidi="ar"/>
        </w:rPr>
        <w:t>4、法定代表人授权代理人居民身份证复印件；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sans-serif" w:eastAsia="仿宋_GB2312" w:cs="仿宋_GB2312"/>
          <w:i w:val="0"/>
          <w:caps w:val="0"/>
          <w:color w:val="auto"/>
          <w:spacing w:val="0"/>
          <w:kern w:val="0"/>
          <w:sz w:val="32"/>
          <w:szCs w:val="32"/>
          <w:shd w:val="clear" w:color="auto" w:fill="FFFFFF"/>
          <w:lang w:val="en-US" w:eastAsia="zh-CN" w:bidi="ar"/>
        </w:rPr>
      </w:pPr>
      <w:r>
        <w:rPr>
          <w:rFonts w:hint="eastAsia" w:ascii="仿宋_GB2312" w:hAnsi="sans-serif" w:eastAsia="仿宋_GB2312" w:cs="仿宋_GB2312"/>
          <w:i w:val="0"/>
          <w:caps w:val="0"/>
          <w:color w:val="auto"/>
          <w:spacing w:val="0"/>
          <w:kern w:val="0"/>
          <w:sz w:val="32"/>
          <w:szCs w:val="32"/>
          <w:shd w:val="clear" w:color="auto" w:fill="FFFFFF"/>
          <w:lang w:val="en-US" w:eastAsia="zh-CN" w:bidi="ar"/>
        </w:rPr>
        <w:t>5、政府采购投标及履约承诺函（附件一）；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sans-serif" w:eastAsia="仿宋_GB2312" w:cs="仿宋_GB2312"/>
          <w:i w:val="0"/>
          <w:caps w:val="0"/>
          <w:color w:val="auto"/>
          <w:spacing w:val="0"/>
          <w:kern w:val="0"/>
          <w:sz w:val="32"/>
          <w:szCs w:val="32"/>
          <w:shd w:val="clear" w:color="auto" w:fill="FFFFFF"/>
          <w:lang w:val="en-US" w:eastAsia="zh-CN" w:bidi="ar"/>
        </w:rPr>
      </w:pPr>
      <w:r>
        <w:rPr>
          <w:rFonts w:hint="eastAsia" w:ascii="仿宋_GB2312" w:hAnsi="sans-serif" w:eastAsia="仿宋_GB2312" w:cs="仿宋_GB2312"/>
          <w:i w:val="0"/>
          <w:caps w:val="0"/>
          <w:color w:val="auto"/>
          <w:spacing w:val="0"/>
          <w:kern w:val="0"/>
          <w:sz w:val="32"/>
          <w:szCs w:val="32"/>
          <w:shd w:val="clear" w:color="auto" w:fill="FFFFFF"/>
          <w:lang w:val="en-US" w:eastAsia="zh-CN" w:bidi="ar"/>
        </w:rPr>
        <w:t>6、企业信用公示报告信息；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sans-serif" w:eastAsia="仿宋_GB2312" w:cs="仿宋_GB2312"/>
          <w:i w:val="0"/>
          <w:caps w:val="0"/>
          <w:color w:val="auto"/>
          <w:spacing w:val="0"/>
          <w:kern w:val="0"/>
          <w:sz w:val="32"/>
          <w:szCs w:val="32"/>
          <w:shd w:val="clear" w:color="auto" w:fill="FFFFFF"/>
          <w:lang w:val="en-US" w:eastAsia="zh-CN" w:bidi="ar"/>
        </w:rPr>
      </w:pPr>
      <w:r>
        <w:rPr>
          <w:rFonts w:hint="eastAsia" w:ascii="仿宋_GB2312" w:hAnsi="sans-serif" w:eastAsia="仿宋_GB2312" w:cs="仿宋_GB2312"/>
          <w:i w:val="0"/>
          <w:caps w:val="0"/>
          <w:color w:val="auto"/>
          <w:spacing w:val="0"/>
          <w:kern w:val="0"/>
          <w:sz w:val="32"/>
          <w:szCs w:val="32"/>
          <w:shd w:val="clear" w:color="auto" w:fill="FFFFFF"/>
          <w:lang w:val="en-US" w:eastAsia="zh-CN" w:bidi="ar"/>
        </w:rPr>
        <w:t>7、业绩证明。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kern w:val="0"/>
          <w:sz w:val="32"/>
          <w:szCs w:val="32"/>
          <w:lang w:val="en-US" w:eastAsia="zh-CN"/>
        </w:rPr>
      </w:pPr>
      <w:r>
        <w:rPr>
          <w:rFonts w:hint="eastAsia" w:ascii="仿宋_GB2312" w:hAnsi="sans-serif" w:eastAsia="仿宋_GB2312" w:cs="仿宋_GB2312"/>
          <w:i w:val="0"/>
          <w:caps w:val="0"/>
          <w:color w:val="auto"/>
          <w:spacing w:val="0"/>
          <w:kern w:val="0"/>
          <w:sz w:val="32"/>
          <w:szCs w:val="32"/>
          <w:shd w:val="clear" w:color="auto" w:fill="FFFFFF"/>
          <w:lang w:val="en-US" w:eastAsia="zh-CN" w:bidi="ar"/>
        </w:rPr>
        <w:t>上述全部资料逐页加盖公章用A4打印装订成册即可，</w:t>
      </w:r>
      <w:r>
        <w:rPr>
          <w:rFonts w:hint="eastAsia" w:ascii="仿宋_GB2312" w:hAnsi="仿宋_GB2312" w:eastAsia="仿宋_GB2312" w:cs="仿宋_GB2312"/>
          <w:bCs/>
          <w:kern w:val="0"/>
          <w:sz w:val="32"/>
          <w:szCs w:val="32"/>
        </w:rPr>
        <w:t>全部</w:t>
      </w:r>
      <w:r>
        <w:rPr>
          <w:rFonts w:hint="eastAsia" w:ascii="仿宋_GB2312" w:hAnsi="仿宋_GB2312" w:eastAsia="仿宋_GB2312" w:cs="仿宋_GB2312"/>
          <w:kern w:val="0"/>
          <w:sz w:val="32"/>
          <w:szCs w:val="32"/>
        </w:rPr>
        <w:t>材料一式三份，双面打印加盖骑缝章装订</w:t>
      </w:r>
      <w:r>
        <w:rPr>
          <w:rFonts w:hint="eastAsia" w:ascii="仿宋_GB2312" w:hAnsi="仿宋_GB2312" w:eastAsia="仿宋_GB2312" w:cs="仿宋_GB2312"/>
          <w:kern w:val="0"/>
          <w:sz w:val="32"/>
          <w:szCs w:val="32"/>
          <w:lang w:eastAsia="zh-CN"/>
        </w:rPr>
        <w:t>。响应文件</w:t>
      </w:r>
      <w:r>
        <w:rPr>
          <w:rFonts w:hint="eastAsia" w:ascii="仿宋_GB2312" w:hAnsi="仿宋_GB2312" w:eastAsia="仿宋_GB2312" w:cs="仿宋_GB2312"/>
          <w:bCs/>
          <w:kern w:val="0"/>
          <w:sz w:val="32"/>
          <w:szCs w:val="32"/>
          <w:lang w:val="en-US" w:eastAsia="zh-CN" w:bidi="ar-SA"/>
        </w:rPr>
        <w:t>均应密封处理，封面请注明项目名称、公司名称、联系人及联系电话。</w:t>
      </w:r>
    </w:p>
    <w:p>
      <w:pPr>
        <w:spacing w:line="540" w:lineRule="exact"/>
        <w:ind w:firstLine="640" w:firstLineChars="200"/>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（二）响应文件递交</w:t>
      </w:r>
    </w:p>
    <w:p>
      <w:pPr>
        <w:spacing w:line="540" w:lineRule="exact"/>
        <w:ind w:firstLine="642"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截止时间：</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日1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：00</w:t>
      </w:r>
      <w:r>
        <w:rPr>
          <w:rFonts w:hint="eastAsia" w:ascii="仿宋_GB2312" w:hAnsi="仿宋_GB2312" w:eastAsia="仿宋_GB2312" w:cs="仿宋_GB2312"/>
          <w:kern w:val="0"/>
          <w:sz w:val="32"/>
          <w:szCs w:val="32"/>
          <w:lang w:eastAsia="zh-CN"/>
        </w:rPr>
        <w:t>（北京时间）。</w:t>
      </w:r>
    </w:p>
    <w:p>
      <w:pPr>
        <w:spacing w:line="540" w:lineRule="exact"/>
        <w:ind w:firstLine="642"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val="0"/>
          <w:kern w:val="0"/>
          <w:sz w:val="32"/>
          <w:szCs w:val="32"/>
          <w:lang w:val="en-US" w:eastAsia="zh-CN" w:bidi="ar-SA"/>
        </w:rPr>
        <w:t>递交地址：</w:t>
      </w:r>
      <w:r>
        <w:rPr>
          <w:rFonts w:hint="eastAsia" w:ascii="仿宋_GB2312" w:hAnsi="仿宋_GB2312" w:eastAsia="仿宋_GB2312" w:cs="仿宋_GB2312"/>
          <w:kern w:val="0"/>
          <w:sz w:val="32"/>
          <w:szCs w:val="32"/>
        </w:rPr>
        <w:t>香蜜湖片区建设发展事务中心</w:t>
      </w:r>
      <w:r>
        <w:rPr>
          <w:rFonts w:hint="eastAsia" w:ascii="仿宋_GB2312" w:hAnsi="仿宋_GB2312" w:eastAsia="仿宋_GB2312" w:cs="仿宋_GB2312"/>
          <w:kern w:val="0"/>
          <w:sz w:val="32"/>
          <w:szCs w:val="32"/>
          <w:lang w:val="en-US" w:eastAsia="zh-CN"/>
        </w:rPr>
        <w:t>405</w:t>
      </w:r>
      <w:r>
        <w:rPr>
          <w:rFonts w:hint="eastAsia" w:ascii="仿宋_GB2312" w:hAnsi="仿宋_GB2312" w:eastAsia="仿宋_GB2312" w:cs="仿宋_GB2312"/>
          <w:kern w:val="0"/>
          <w:sz w:val="32"/>
          <w:szCs w:val="32"/>
        </w:rPr>
        <w:t>室（地址：深圳市福田区香蜜湖街道深业中城7栋</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楼</w:t>
      </w:r>
      <w:r>
        <w:rPr>
          <w:rFonts w:hint="eastAsia" w:ascii="仿宋_GB2312" w:hAnsi="仿宋_GB2312" w:eastAsia="仿宋_GB2312" w:cs="仿宋_GB2312"/>
          <w:kern w:val="0"/>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sans-serif"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kern w:val="0"/>
          <w:sz w:val="32"/>
          <w:szCs w:val="32"/>
          <w:lang w:eastAsia="zh-CN"/>
        </w:rPr>
        <w:t>其他说明：</w:t>
      </w:r>
      <w:r>
        <w:rPr>
          <w:rFonts w:hint="eastAsia" w:ascii="仿宋_GB2312" w:hAnsi="sans-serif" w:eastAsia="仿宋_GB2312" w:cs="仿宋_GB2312"/>
          <w:b w:val="0"/>
          <w:bCs/>
          <w:i w:val="0"/>
          <w:caps w:val="0"/>
          <w:color w:val="auto"/>
          <w:spacing w:val="0"/>
          <w:kern w:val="0"/>
          <w:sz w:val="32"/>
          <w:szCs w:val="32"/>
          <w:shd w:val="clear" w:color="auto" w:fill="FFFFFF"/>
          <w:lang w:val="en-US" w:eastAsia="zh-CN" w:bidi="ar"/>
        </w:rPr>
        <w:t>所有响应文件在规定时间内送达，</w:t>
      </w:r>
      <w:r>
        <w:rPr>
          <w:rFonts w:hint="eastAsia" w:ascii="仿宋_GB2312" w:hAnsi="sans-serif" w:eastAsia="仿宋_GB2312" w:cs="仿宋_GB2312"/>
          <w:i w:val="0"/>
          <w:caps w:val="0"/>
          <w:color w:val="auto"/>
          <w:spacing w:val="0"/>
          <w:kern w:val="0"/>
          <w:sz w:val="32"/>
          <w:szCs w:val="32"/>
          <w:shd w:val="clear" w:color="auto" w:fill="FFFFFF"/>
          <w:lang w:val="en-US" w:eastAsia="zh-CN" w:bidi="ar"/>
        </w:rPr>
        <w:t>逾期送达的、未送达指定地点的或者不按照响应文件要求密封的报价文件，采购方将予以拒收。若响应文件采用邮寄的，必须在邮寄包装外明确单位名称、联系人及联系电话，邮费自付，否则拒收。</w:t>
      </w:r>
    </w:p>
    <w:p>
      <w:pPr>
        <w:spacing w:line="540" w:lineRule="exact"/>
        <w:ind w:firstLine="642" w:firstLineChars="20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
          <w:bCs w:val="0"/>
          <w:kern w:val="0"/>
          <w:sz w:val="32"/>
          <w:szCs w:val="32"/>
          <w:lang w:val="en-US" w:eastAsia="zh-CN" w:bidi="ar-SA"/>
        </w:rPr>
        <w:t>联系人：</w:t>
      </w:r>
      <w:r>
        <w:rPr>
          <w:rFonts w:hint="eastAsia" w:ascii="仿宋_GB2312" w:hAnsi="仿宋_GB2312" w:eastAsia="仿宋_GB2312" w:cs="仿宋_GB2312"/>
          <w:bCs/>
          <w:kern w:val="0"/>
          <w:sz w:val="32"/>
          <w:szCs w:val="32"/>
          <w:lang w:val="en-US" w:eastAsia="zh-CN" w:bidi="ar-SA"/>
        </w:rPr>
        <w:t>禤先生，0755-83269530。</w:t>
      </w:r>
    </w:p>
    <w:p>
      <w:pPr>
        <w:pStyle w:val="2"/>
        <w:ind w:left="0" w:leftChars="0" w:firstLine="0" w:firstLineChars="0"/>
        <w:rPr>
          <w:rFonts w:hint="eastAsia" w:ascii="仿宋_GB2312" w:hAnsi="仿宋_GB2312" w:eastAsia="仿宋_GB2312" w:cs="仿宋_GB2312"/>
          <w:sz w:val="32"/>
          <w:szCs w:val="32"/>
          <w:lang w:val="en-US" w:eastAsia="zh-CN"/>
        </w:rPr>
      </w:pPr>
    </w:p>
    <w:p>
      <w:pPr>
        <w:spacing w:line="540" w:lineRule="exact"/>
        <w:jc w:val="right"/>
        <w:rPr>
          <w:rFonts w:hAnsi="宋体" w:eastAsia="仿宋_GB2312" w:cs="方正小标宋简体"/>
          <w:color w:val="000000"/>
          <w:szCs w:val="32"/>
        </w:rPr>
      </w:pPr>
      <w:r>
        <w:rPr>
          <w:rFonts w:hint="eastAsia" w:ascii="仿宋_GB2312" w:hAnsi="宋体" w:eastAsia="仿宋_GB2312" w:cs="方正小标宋简体"/>
          <w:color w:val="000000"/>
          <w:sz w:val="32"/>
          <w:szCs w:val="32"/>
        </w:rPr>
        <w:t xml:space="preserve">  深圳市福田区香蜜湖片区建设发展事务中心</w:t>
      </w:r>
    </w:p>
    <w:p>
      <w:pPr>
        <w:spacing w:line="540" w:lineRule="exact"/>
        <w:ind w:firstLine="6080" w:firstLineChars="1900"/>
        <w:rPr>
          <w:rFonts w:hint="eastAsia" w:ascii="仿宋_GB2312" w:hAnsi="宋体" w:eastAsia="仿宋_GB2312" w:cs="方正小标宋简体"/>
          <w:color w:val="000000"/>
          <w:sz w:val="32"/>
          <w:szCs w:val="32"/>
        </w:rPr>
        <w:sectPr>
          <w:pgSz w:w="11906" w:h="16838"/>
          <w:pgMar w:top="2098" w:right="1474" w:bottom="1984" w:left="1587" w:header="851" w:footer="992" w:gutter="0"/>
          <w:cols w:space="425" w:num="1"/>
          <w:docGrid w:type="lines" w:linePitch="312" w:charSpace="0"/>
        </w:sectPr>
      </w:pPr>
      <w:r>
        <w:rPr>
          <w:rFonts w:hint="eastAsia" w:ascii="仿宋_GB2312" w:hAnsi="宋体" w:eastAsia="仿宋_GB2312" w:cs="方正小标宋简体"/>
          <w:color w:val="000000"/>
          <w:sz w:val="32"/>
          <w:szCs w:val="32"/>
        </w:rPr>
        <w:t>202</w:t>
      </w:r>
      <w:r>
        <w:rPr>
          <w:rFonts w:hint="eastAsia" w:ascii="仿宋_GB2312" w:hAnsi="宋体" w:eastAsia="仿宋_GB2312" w:cs="方正小标宋简体"/>
          <w:color w:val="000000"/>
          <w:sz w:val="32"/>
          <w:szCs w:val="32"/>
          <w:lang w:val="en-US" w:eastAsia="zh-CN"/>
        </w:rPr>
        <w:t>3</w:t>
      </w:r>
      <w:r>
        <w:rPr>
          <w:rFonts w:hint="eastAsia" w:ascii="仿宋_GB2312" w:hAnsi="宋体" w:eastAsia="仿宋_GB2312" w:cs="方正小标宋简体"/>
          <w:color w:val="000000"/>
          <w:sz w:val="32"/>
          <w:szCs w:val="32"/>
        </w:rPr>
        <w:t>年</w:t>
      </w:r>
      <w:r>
        <w:rPr>
          <w:rFonts w:hint="eastAsia" w:ascii="仿宋_GB2312" w:hAnsi="宋体" w:eastAsia="仿宋_GB2312" w:cs="方正小标宋简体"/>
          <w:color w:val="000000"/>
          <w:sz w:val="32"/>
          <w:szCs w:val="32"/>
          <w:lang w:val="en-US" w:eastAsia="zh-CN"/>
        </w:rPr>
        <w:t>4</w:t>
      </w:r>
      <w:bookmarkStart w:id="1" w:name="_GoBack"/>
      <w:bookmarkEnd w:id="1"/>
      <w:r>
        <w:rPr>
          <w:rFonts w:hint="eastAsia" w:ascii="仿宋_GB2312" w:hAnsi="宋体" w:eastAsia="仿宋_GB2312" w:cs="方正小标宋简体"/>
          <w:color w:val="000000"/>
          <w:sz w:val="32"/>
          <w:szCs w:val="32"/>
        </w:rPr>
        <w:t>月</w:t>
      </w:r>
      <w:r>
        <w:rPr>
          <w:rFonts w:hint="eastAsia" w:ascii="仿宋_GB2312" w:hAnsi="宋体" w:eastAsia="仿宋_GB2312" w:cs="方正小标宋简体"/>
          <w:color w:val="000000"/>
          <w:sz w:val="32"/>
          <w:szCs w:val="32"/>
          <w:lang w:val="en-US" w:eastAsia="zh-CN"/>
        </w:rPr>
        <w:t>28</w:t>
      </w:r>
      <w:r>
        <w:rPr>
          <w:rFonts w:hint="eastAsia" w:ascii="仿宋_GB2312" w:hAnsi="宋体" w:eastAsia="仿宋_GB2312" w:cs="方正小标宋简体"/>
          <w:color w:val="000000"/>
          <w:sz w:val="32"/>
          <w:szCs w:val="32"/>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Helvetica" w:hAnsi="Helvetica" w:eastAsia="Helvetica" w:cs="Helvetica"/>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kern w:val="0"/>
          <w:sz w:val="44"/>
          <w:szCs w:val="44"/>
          <w:shd w:val="clear" w:color="auto" w:fill="FFFFFF"/>
          <w:lang w:val="en-US" w:eastAsia="zh-CN" w:bidi="ar"/>
        </w:rPr>
        <w:t>政府采购投标及履约承诺函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致：</w:t>
      </w:r>
      <w:r>
        <w:rPr>
          <w:rFonts w:hint="eastAsia" w:ascii="仿宋_GB2312" w:hAnsi="仿宋_GB2312" w:eastAsia="仿宋_GB2312" w:cs="仿宋_GB2312"/>
          <w:i w:val="0"/>
          <w:iCs w:val="0"/>
          <w:caps w:val="0"/>
          <w:color w:val="auto"/>
          <w:spacing w:val="0"/>
          <w:kern w:val="0"/>
          <w:sz w:val="28"/>
          <w:szCs w:val="28"/>
          <w:u w:val="single"/>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我单位承诺：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1.我单位参与本项目投标前三年内，无行贿犯罪记录。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2.我单位参与本项目投标前三年内，在经营活动中没有重大违法记录。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3.我单位参与本项目政府采购活动时不存在被有关部门禁止参与政府采购活动且在有效期内的情况。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4.我单位参与本项目政府采购活动时不存在被有关部门列入失信被执行人、重大税收违法案件当事人名单、政府采购严重违法失信行为记录名单的情况。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5. 我单位参与本项目没有联合体应答，没有违法分包转包。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6.我单位在深圳政府采购活动中诚信情况承诺如下（在下列选项打“√”选择）：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□我公司在深圳政府采购活动中未受过诚信处罚情形；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□我公司在深圳政府采购活动中受过诚信处罚，处罚文号</w:t>
      </w:r>
      <w:r>
        <w:rPr>
          <w:rFonts w:hint="eastAsia" w:ascii="仿宋_GB2312" w:hAnsi="仿宋_GB2312" w:eastAsia="仿宋_GB2312" w:cs="仿宋_GB2312"/>
          <w:i w:val="0"/>
          <w:iCs w:val="0"/>
          <w:caps w:val="0"/>
          <w:color w:val="auto"/>
          <w:spacing w:val="0"/>
          <w:kern w:val="0"/>
          <w:sz w:val="28"/>
          <w:szCs w:val="28"/>
          <w:u w:val="single"/>
          <w:shd w:val="clear" w:color="auto" w:fill="FFFFFF"/>
          <w:lang w:val="en-US" w:eastAsia="zh-CN" w:bidi="ar"/>
        </w:rPr>
        <w:t>    </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，处罚有效期为</w:t>
      </w:r>
      <w:r>
        <w:rPr>
          <w:rFonts w:hint="eastAsia" w:ascii="仿宋_GB2312" w:hAnsi="仿宋_GB2312" w:eastAsia="仿宋_GB2312" w:cs="仿宋_GB2312"/>
          <w:i w:val="0"/>
          <w:iCs w:val="0"/>
          <w:caps w:val="0"/>
          <w:color w:val="auto"/>
          <w:spacing w:val="0"/>
          <w:kern w:val="0"/>
          <w:sz w:val="28"/>
          <w:szCs w:val="28"/>
          <w:u w:val="single"/>
          <w:shd w:val="clear" w:color="auto" w:fill="FFFFFF"/>
          <w:lang w:val="en-US" w:eastAsia="zh-CN" w:bidi="ar"/>
        </w:rPr>
        <w:t>   </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年</w:t>
      </w:r>
      <w:r>
        <w:rPr>
          <w:rFonts w:hint="eastAsia" w:ascii="仿宋_GB2312" w:hAnsi="仿宋_GB2312" w:eastAsia="仿宋_GB2312" w:cs="仿宋_GB2312"/>
          <w:i w:val="0"/>
          <w:iCs w:val="0"/>
          <w:caps w:val="0"/>
          <w:color w:val="auto"/>
          <w:spacing w:val="0"/>
          <w:kern w:val="0"/>
          <w:sz w:val="28"/>
          <w:szCs w:val="28"/>
          <w:u w:val="single"/>
          <w:shd w:val="clear" w:color="auto" w:fill="FFFFFF"/>
          <w:lang w:val="en-US" w:eastAsia="zh-CN" w:bidi="ar"/>
        </w:rPr>
        <w:t>   </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月</w:t>
      </w:r>
      <w:r>
        <w:rPr>
          <w:rFonts w:hint="eastAsia" w:ascii="仿宋_GB2312" w:hAnsi="仿宋_GB2312" w:eastAsia="仿宋_GB2312" w:cs="仿宋_GB2312"/>
          <w:i w:val="0"/>
          <w:iCs w:val="0"/>
          <w:caps w:val="0"/>
          <w:color w:val="auto"/>
          <w:spacing w:val="0"/>
          <w:kern w:val="0"/>
          <w:sz w:val="28"/>
          <w:szCs w:val="28"/>
          <w:u w:val="single"/>
          <w:shd w:val="clear" w:color="auto" w:fill="FFFFFF"/>
          <w:lang w:val="en-US" w:eastAsia="zh-CN" w:bidi="ar"/>
        </w:rPr>
        <w:t>  </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日至</w:t>
      </w:r>
      <w:r>
        <w:rPr>
          <w:rFonts w:hint="eastAsia" w:ascii="仿宋_GB2312" w:hAnsi="仿宋_GB2312" w:eastAsia="仿宋_GB2312" w:cs="仿宋_GB2312"/>
          <w:i w:val="0"/>
          <w:iCs w:val="0"/>
          <w:caps w:val="0"/>
          <w:color w:val="auto"/>
          <w:spacing w:val="0"/>
          <w:kern w:val="0"/>
          <w:sz w:val="28"/>
          <w:szCs w:val="28"/>
          <w:u w:val="single"/>
          <w:shd w:val="clear" w:color="auto" w:fill="FFFFFF"/>
          <w:lang w:val="en-US" w:eastAsia="zh-CN" w:bidi="ar"/>
        </w:rPr>
        <w:t>   </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年</w:t>
      </w:r>
      <w:r>
        <w:rPr>
          <w:rFonts w:hint="eastAsia" w:ascii="仿宋_GB2312" w:hAnsi="仿宋_GB2312" w:eastAsia="仿宋_GB2312" w:cs="仿宋_GB2312"/>
          <w:i w:val="0"/>
          <w:iCs w:val="0"/>
          <w:caps w:val="0"/>
          <w:color w:val="auto"/>
          <w:spacing w:val="0"/>
          <w:kern w:val="0"/>
          <w:sz w:val="28"/>
          <w:szCs w:val="28"/>
          <w:u w:val="single"/>
          <w:shd w:val="clear" w:color="auto" w:fill="FFFFFF"/>
          <w:lang w:val="en-US" w:eastAsia="zh-CN" w:bidi="ar"/>
        </w:rPr>
        <w:t>   </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月</w:t>
      </w:r>
      <w:r>
        <w:rPr>
          <w:rFonts w:hint="eastAsia" w:ascii="仿宋_GB2312" w:hAnsi="仿宋_GB2312" w:eastAsia="仿宋_GB2312" w:cs="仿宋_GB2312"/>
          <w:i w:val="0"/>
          <w:iCs w:val="0"/>
          <w:caps w:val="0"/>
          <w:color w:val="auto"/>
          <w:spacing w:val="0"/>
          <w:kern w:val="0"/>
          <w:sz w:val="28"/>
          <w:szCs w:val="28"/>
          <w:u w:val="single"/>
          <w:shd w:val="clear" w:color="auto" w:fill="FFFFFF"/>
          <w:lang w:val="en-US" w:eastAsia="zh-CN" w:bidi="ar"/>
        </w:rPr>
        <w:t>    </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以上承诺，如有违反，愿依照国家相关法律处理，并自愿承担投标无效的后果以及赔偿由此给采购人带来的一切经济损失。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特此承诺！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36"/>
          <w:szCs w:val="36"/>
          <w:shd w:val="clear" w:color="auto" w:fill="FFFFFF"/>
          <w:lang w:val="en-US" w:eastAsia="zh-CN" w:bidi="ar"/>
        </w:rPr>
        <w:t xml:space="preserve">             </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投标人名称：</w:t>
      </w:r>
      <w:r>
        <w:rPr>
          <w:rFonts w:hint="eastAsia" w:ascii="仿宋_GB2312" w:hAnsi="仿宋_GB2312" w:eastAsia="仿宋_GB2312" w:cs="仿宋_GB2312"/>
          <w:i w:val="0"/>
          <w:iCs w:val="0"/>
          <w:caps w:val="0"/>
          <w:color w:val="auto"/>
          <w:spacing w:val="0"/>
          <w:kern w:val="0"/>
          <w:sz w:val="28"/>
          <w:szCs w:val="28"/>
          <w:u w:val="single"/>
          <w:shd w:val="clear" w:color="auto" w:fill="FFFFFF"/>
          <w:lang w:val="en-US" w:eastAsia="zh-CN" w:bidi="ar"/>
        </w:rPr>
        <w:t>         (公章)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2240" w:firstLineChars="800"/>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法定代表人签名（或委托的全权代表人）：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2240" w:firstLineChars="800"/>
        <w:jc w:val="left"/>
        <w:textAlignment w:val="auto"/>
        <w:rPr>
          <w:rFonts w:hint="eastAsia" w:ascii="仿宋_GB2312" w:hAnsi="仿宋_GB2312" w:eastAsia="仿宋_GB2312" w:cs="仿宋_GB2312"/>
          <w:i w:val="0"/>
          <w:iCs w:val="0"/>
          <w:caps w:val="0"/>
          <w:color w:val="auto"/>
          <w:spacing w:val="0"/>
          <w:sz w:val="24"/>
          <w:szCs w:val="24"/>
          <w:lang w:eastAsia="zh-CN"/>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日期：</w:t>
      </w:r>
      <w:r>
        <w:rPr>
          <w:rFonts w:hint="eastAsia" w:ascii="仿宋_GB2312" w:hAnsi="仿宋_GB2312" w:eastAsia="仿宋_GB2312" w:cs="仿宋_GB2312"/>
          <w:i w:val="0"/>
          <w:iCs w:val="0"/>
          <w:caps w:val="0"/>
          <w:color w:val="auto"/>
          <w:spacing w:val="0"/>
          <w:kern w:val="0"/>
          <w:sz w:val="28"/>
          <w:szCs w:val="28"/>
          <w:u w:val="single"/>
          <w:shd w:val="clear" w:color="auto" w:fill="FFFFFF"/>
          <w:lang w:val="en-US" w:eastAsia="zh-CN" w:bidi="ar"/>
        </w:rPr>
        <w:t>          </w:t>
      </w:r>
    </w:p>
    <w:p>
      <w:pPr>
        <w:pStyle w:val="2"/>
        <w:ind w:left="0" w:leftChars="0" w:firstLine="0" w:firstLineChars="0"/>
      </w:pPr>
    </w:p>
    <w:sectPr>
      <w:pgSz w:w="11906" w:h="16838"/>
      <w:pgMar w:top="1701" w:right="1474"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华文仿宋"/>
    <w:panose1 w:val="00000000000000000000"/>
    <w:charset w:val="00"/>
    <w:family w:val="auto"/>
    <w:pitch w:val="default"/>
    <w:sig w:usb0="00000000" w:usb1="00000000" w:usb2="00000000" w:usb3="00000000" w:csb0="00040001" w:csb1="00000000"/>
  </w:font>
  <w:font w:name="Helvetica">
    <w:altName w:val="华文仿宋"/>
    <w:panose1 w:val="00000000000000000000"/>
    <w:charset w:val="00"/>
    <w:family w:val="auto"/>
    <w:pitch w:val="default"/>
    <w:sig w:usb0="00000000" w:usb1="00000000" w:usb2="00000000"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63CEF"/>
    <w:multiLevelType w:val="singleLevel"/>
    <w:tmpl w:val="CE763CE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lYzQ2MGQ0ODhlODcyZTJiMzBkYzYzYzZiMGUwMGUifQ=="/>
  </w:docVars>
  <w:rsids>
    <w:rsidRoot w:val="00B11295"/>
    <w:rsid w:val="00023632"/>
    <w:rsid w:val="00036269"/>
    <w:rsid w:val="00047C8D"/>
    <w:rsid w:val="00053496"/>
    <w:rsid w:val="00077398"/>
    <w:rsid w:val="00082D9A"/>
    <w:rsid w:val="000865D3"/>
    <w:rsid w:val="000B3837"/>
    <w:rsid w:val="000F332F"/>
    <w:rsid w:val="00105A34"/>
    <w:rsid w:val="0014676E"/>
    <w:rsid w:val="00160DB6"/>
    <w:rsid w:val="00163893"/>
    <w:rsid w:val="001B6946"/>
    <w:rsid w:val="001C6A73"/>
    <w:rsid w:val="001E4ED9"/>
    <w:rsid w:val="00255BC5"/>
    <w:rsid w:val="00255FC4"/>
    <w:rsid w:val="002777AE"/>
    <w:rsid w:val="00294692"/>
    <w:rsid w:val="002C4646"/>
    <w:rsid w:val="002C4841"/>
    <w:rsid w:val="002F0D6E"/>
    <w:rsid w:val="00303942"/>
    <w:rsid w:val="00303965"/>
    <w:rsid w:val="003178B6"/>
    <w:rsid w:val="003203E7"/>
    <w:rsid w:val="00332F9A"/>
    <w:rsid w:val="003D58B4"/>
    <w:rsid w:val="003E38BF"/>
    <w:rsid w:val="003E6843"/>
    <w:rsid w:val="003F063E"/>
    <w:rsid w:val="00407B83"/>
    <w:rsid w:val="00411028"/>
    <w:rsid w:val="004B2D40"/>
    <w:rsid w:val="00532FEE"/>
    <w:rsid w:val="0053342D"/>
    <w:rsid w:val="00553447"/>
    <w:rsid w:val="0057059D"/>
    <w:rsid w:val="005D00A1"/>
    <w:rsid w:val="00604392"/>
    <w:rsid w:val="0061347C"/>
    <w:rsid w:val="00642998"/>
    <w:rsid w:val="006459EA"/>
    <w:rsid w:val="006511AB"/>
    <w:rsid w:val="00695BE4"/>
    <w:rsid w:val="006E3315"/>
    <w:rsid w:val="006E4CC6"/>
    <w:rsid w:val="006F66EB"/>
    <w:rsid w:val="006F6C2C"/>
    <w:rsid w:val="007044FC"/>
    <w:rsid w:val="0070654D"/>
    <w:rsid w:val="00776FA7"/>
    <w:rsid w:val="007A4D85"/>
    <w:rsid w:val="007C78FE"/>
    <w:rsid w:val="007C7E9C"/>
    <w:rsid w:val="00815399"/>
    <w:rsid w:val="00847E07"/>
    <w:rsid w:val="00881F1B"/>
    <w:rsid w:val="008A77E3"/>
    <w:rsid w:val="008E678E"/>
    <w:rsid w:val="00902321"/>
    <w:rsid w:val="00904A3B"/>
    <w:rsid w:val="009D6223"/>
    <w:rsid w:val="009F4160"/>
    <w:rsid w:val="00A5001A"/>
    <w:rsid w:val="00A5780A"/>
    <w:rsid w:val="00A93C0F"/>
    <w:rsid w:val="00AB0B67"/>
    <w:rsid w:val="00AB1A19"/>
    <w:rsid w:val="00AB5E71"/>
    <w:rsid w:val="00AD69CD"/>
    <w:rsid w:val="00AD7A1A"/>
    <w:rsid w:val="00AE3F98"/>
    <w:rsid w:val="00B11295"/>
    <w:rsid w:val="00B52F80"/>
    <w:rsid w:val="00B87996"/>
    <w:rsid w:val="00BA0A0C"/>
    <w:rsid w:val="00BA1DE7"/>
    <w:rsid w:val="00BC2C3F"/>
    <w:rsid w:val="00BC7B2F"/>
    <w:rsid w:val="00BF3FF4"/>
    <w:rsid w:val="00C02E17"/>
    <w:rsid w:val="00C66562"/>
    <w:rsid w:val="00CA33DF"/>
    <w:rsid w:val="00CB1C9C"/>
    <w:rsid w:val="00CF3EAC"/>
    <w:rsid w:val="00D03F1F"/>
    <w:rsid w:val="00D46C17"/>
    <w:rsid w:val="00D75E21"/>
    <w:rsid w:val="00DB7017"/>
    <w:rsid w:val="00DC5816"/>
    <w:rsid w:val="00DD7F33"/>
    <w:rsid w:val="00DF7F32"/>
    <w:rsid w:val="00E5194E"/>
    <w:rsid w:val="00E60E17"/>
    <w:rsid w:val="00E6345C"/>
    <w:rsid w:val="00E846AD"/>
    <w:rsid w:val="00EC7853"/>
    <w:rsid w:val="00EF579D"/>
    <w:rsid w:val="00F01F19"/>
    <w:rsid w:val="00F146C9"/>
    <w:rsid w:val="00F55F20"/>
    <w:rsid w:val="00FB596F"/>
    <w:rsid w:val="00FB60C4"/>
    <w:rsid w:val="00FB7C50"/>
    <w:rsid w:val="00FC42FA"/>
    <w:rsid w:val="00FC4457"/>
    <w:rsid w:val="09B95E72"/>
    <w:rsid w:val="0A2A54A3"/>
    <w:rsid w:val="0CF69571"/>
    <w:rsid w:val="0DD5A15C"/>
    <w:rsid w:val="15D29457"/>
    <w:rsid w:val="175B199E"/>
    <w:rsid w:val="1C3F41C3"/>
    <w:rsid w:val="1CFD6477"/>
    <w:rsid w:val="1DA33E45"/>
    <w:rsid w:val="1EFCF5D6"/>
    <w:rsid w:val="1FCD820F"/>
    <w:rsid w:val="231BA0CE"/>
    <w:rsid w:val="23FD0FDB"/>
    <w:rsid w:val="27BF8FA7"/>
    <w:rsid w:val="2BA76985"/>
    <w:rsid w:val="2DDF997D"/>
    <w:rsid w:val="2E57A18C"/>
    <w:rsid w:val="2F3CA300"/>
    <w:rsid w:val="2FFF96EA"/>
    <w:rsid w:val="3AAD2B62"/>
    <w:rsid w:val="3B3B4B2D"/>
    <w:rsid w:val="3BD7A7C3"/>
    <w:rsid w:val="3BDE564A"/>
    <w:rsid w:val="3E8FD382"/>
    <w:rsid w:val="3ED7D6EA"/>
    <w:rsid w:val="3F1FC1AB"/>
    <w:rsid w:val="3FBC7EBA"/>
    <w:rsid w:val="3FDCA7AC"/>
    <w:rsid w:val="3FF66535"/>
    <w:rsid w:val="3FF96C13"/>
    <w:rsid w:val="41C65356"/>
    <w:rsid w:val="4B4B9416"/>
    <w:rsid w:val="4BD7876B"/>
    <w:rsid w:val="4FE74997"/>
    <w:rsid w:val="4FFDAB10"/>
    <w:rsid w:val="51DFBBE4"/>
    <w:rsid w:val="51F985AA"/>
    <w:rsid w:val="5596CBD5"/>
    <w:rsid w:val="55E7397E"/>
    <w:rsid w:val="56FFF62E"/>
    <w:rsid w:val="576B84F1"/>
    <w:rsid w:val="5ACE237E"/>
    <w:rsid w:val="5B7343D2"/>
    <w:rsid w:val="5EED6D07"/>
    <w:rsid w:val="5F2F9700"/>
    <w:rsid w:val="5F9FBEF8"/>
    <w:rsid w:val="5FDE3DF2"/>
    <w:rsid w:val="5FDFBD83"/>
    <w:rsid w:val="5FFBCFAB"/>
    <w:rsid w:val="5FFD2275"/>
    <w:rsid w:val="5FFFEC02"/>
    <w:rsid w:val="65FDB13C"/>
    <w:rsid w:val="66FE73CC"/>
    <w:rsid w:val="67B37FB8"/>
    <w:rsid w:val="69F7CD57"/>
    <w:rsid w:val="6ACF1691"/>
    <w:rsid w:val="6B65907D"/>
    <w:rsid w:val="6BFF178C"/>
    <w:rsid w:val="6E971DB5"/>
    <w:rsid w:val="6F3EFEC4"/>
    <w:rsid w:val="6F6EB3B9"/>
    <w:rsid w:val="6FB58A88"/>
    <w:rsid w:val="73EF627C"/>
    <w:rsid w:val="73F3BC63"/>
    <w:rsid w:val="747F38A3"/>
    <w:rsid w:val="757BDA1D"/>
    <w:rsid w:val="75F6F56F"/>
    <w:rsid w:val="75FF08A5"/>
    <w:rsid w:val="764FB152"/>
    <w:rsid w:val="767EA9E8"/>
    <w:rsid w:val="76ADF110"/>
    <w:rsid w:val="76D3D41B"/>
    <w:rsid w:val="76D68BAA"/>
    <w:rsid w:val="76DF3266"/>
    <w:rsid w:val="76FA4F98"/>
    <w:rsid w:val="76FD18D6"/>
    <w:rsid w:val="7747D736"/>
    <w:rsid w:val="7789648A"/>
    <w:rsid w:val="77ED1128"/>
    <w:rsid w:val="79CB9AC8"/>
    <w:rsid w:val="79D39031"/>
    <w:rsid w:val="79EFA84B"/>
    <w:rsid w:val="7A7F0EE5"/>
    <w:rsid w:val="7B360446"/>
    <w:rsid w:val="7B9D7ECA"/>
    <w:rsid w:val="7BB595F2"/>
    <w:rsid w:val="7BBD2371"/>
    <w:rsid w:val="7BF33546"/>
    <w:rsid w:val="7BF3452C"/>
    <w:rsid w:val="7BFFB9E1"/>
    <w:rsid w:val="7C2EA887"/>
    <w:rsid w:val="7CBA2C0E"/>
    <w:rsid w:val="7CFD390C"/>
    <w:rsid w:val="7CFEAE59"/>
    <w:rsid w:val="7D5D6170"/>
    <w:rsid w:val="7D5FABF8"/>
    <w:rsid w:val="7D718C58"/>
    <w:rsid w:val="7DAB3861"/>
    <w:rsid w:val="7DB61B69"/>
    <w:rsid w:val="7DBE8760"/>
    <w:rsid w:val="7DEA799C"/>
    <w:rsid w:val="7DF676C7"/>
    <w:rsid w:val="7DFD0EE1"/>
    <w:rsid w:val="7DFDF445"/>
    <w:rsid w:val="7E5AB032"/>
    <w:rsid w:val="7E754882"/>
    <w:rsid w:val="7E78DB27"/>
    <w:rsid w:val="7EF3F734"/>
    <w:rsid w:val="7EF7FF95"/>
    <w:rsid w:val="7F5BB184"/>
    <w:rsid w:val="7F67754C"/>
    <w:rsid w:val="7F7302E7"/>
    <w:rsid w:val="7F9E7B7C"/>
    <w:rsid w:val="7FD735CA"/>
    <w:rsid w:val="7FDF3A46"/>
    <w:rsid w:val="7FDF63B7"/>
    <w:rsid w:val="7FEE73C7"/>
    <w:rsid w:val="7FF75501"/>
    <w:rsid w:val="7FFDF108"/>
    <w:rsid w:val="7FFF1DA1"/>
    <w:rsid w:val="85BD06E9"/>
    <w:rsid w:val="8CFC030A"/>
    <w:rsid w:val="8F5D6FA0"/>
    <w:rsid w:val="9DFB10B7"/>
    <w:rsid w:val="9F9A971B"/>
    <w:rsid w:val="9F9FFFA2"/>
    <w:rsid w:val="9FC30A7C"/>
    <w:rsid w:val="AB3D4FBD"/>
    <w:rsid w:val="AD77D791"/>
    <w:rsid w:val="ADDA75A7"/>
    <w:rsid w:val="B3FB7DD8"/>
    <w:rsid w:val="B7EF2DC0"/>
    <w:rsid w:val="B7FEC1BF"/>
    <w:rsid w:val="BBFFA1C3"/>
    <w:rsid w:val="BDDE5322"/>
    <w:rsid w:val="BDFB13AD"/>
    <w:rsid w:val="BE3FA291"/>
    <w:rsid w:val="BE6FE7A1"/>
    <w:rsid w:val="BE76CE7B"/>
    <w:rsid w:val="BEF386CE"/>
    <w:rsid w:val="BF3C3442"/>
    <w:rsid w:val="BF7D3002"/>
    <w:rsid w:val="BF8E0676"/>
    <w:rsid w:val="BFAF8151"/>
    <w:rsid w:val="BFDC0BD5"/>
    <w:rsid w:val="BFE15039"/>
    <w:rsid w:val="C6783E21"/>
    <w:rsid w:val="CB7DD87D"/>
    <w:rsid w:val="D1F14860"/>
    <w:rsid w:val="D3F51652"/>
    <w:rsid w:val="D4E7D937"/>
    <w:rsid w:val="D7DCE4B8"/>
    <w:rsid w:val="D7F75C54"/>
    <w:rsid w:val="D7FDFF2D"/>
    <w:rsid w:val="DB7FC55C"/>
    <w:rsid w:val="DB9C2E32"/>
    <w:rsid w:val="DD5EE64A"/>
    <w:rsid w:val="DDF965BE"/>
    <w:rsid w:val="DEF5C451"/>
    <w:rsid w:val="DEFD5319"/>
    <w:rsid w:val="DFD6D3B5"/>
    <w:rsid w:val="E4F82FBB"/>
    <w:rsid w:val="E79F759A"/>
    <w:rsid w:val="E7FF4D36"/>
    <w:rsid w:val="E7FF8AB0"/>
    <w:rsid w:val="E8BDF2B4"/>
    <w:rsid w:val="E9BFCFEC"/>
    <w:rsid w:val="EB67F9E0"/>
    <w:rsid w:val="ECFEBDCE"/>
    <w:rsid w:val="ED5B0205"/>
    <w:rsid w:val="ED5BE75D"/>
    <w:rsid w:val="EDDE4F9A"/>
    <w:rsid w:val="EDF3F249"/>
    <w:rsid w:val="EEFEA381"/>
    <w:rsid w:val="EF872CF7"/>
    <w:rsid w:val="EFADFBFB"/>
    <w:rsid w:val="EFBF236E"/>
    <w:rsid w:val="EFCA6902"/>
    <w:rsid w:val="EFECB376"/>
    <w:rsid w:val="EFFED8A8"/>
    <w:rsid w:val="F1BFDF65"/>
    <w:rsid w:val="F49788D2"/>
    <w:rsid w:val="F6B7891C"/>
    <w:rsid w:val="F6EFB719"/>
    <w:rsid w:val="F751D25E"/>
    <w:rsid w:val="F7A7D2DE"/>
    <w:rsid w:val="F7FDF54F"/>
    <w:rsid w:val="F9CEA580"/>
    <w:rsid w:val="F9DF69D9"/>
    <w:rsid w:val="F9F993A7"/>
    <w:rsid w:val="F9FFAD6F"/>
    <w:rsid w:val="FB4B9C28"/>
    <w:rsid w:val="FBFE379A"/>
    <w:rsid w:val="FBFF8E79"/>
    <w:rsid w:val="FC739C9C"/>
    <w:rsid w:val="FDB566DE"/>
    <w:rsid w:val="FDF95D8C"/>
    <w:rsid w:val="FDFF0DEF"/>
    <w:rsid w:val="FE2C24BF"/>
    <w:rsid w:val="FE6FB2C0"/>
    <w:rsid w:val="FE7E5D23"/>
    <w:rsid w:val="FEBB7DBC"/>
    <w:rsid w:val="FEEEEA03"/>
    <w:rsid w:val="FEF76C50"/>
    <w:rsid w:val="FEFEFD77"/>
    <w:rsid w:val="FEFF2C99"/>
    <w:rsid w:val="FEFFC16A"/>
    <w:rsid w:val="FF4FA7A1"/>
    <w:rsid w:val="FF7F6961"/>
    <w:rsid w:val="FFBB34B1"/>
    <w:rsid w:val="FFBE5267"/>
    <w:rsid w:val="FFBE9F12"/>
    <w:rsid w:val="FFCFB8F7"/>
    <w:rsid w:val="FFDC0988"/>
    <w:rsid w:val="FFEFBE91"/>
    <w:rsid w:val="FFF5F885"/>
    <w:rsid w:val="FFF99BFF"/>
    <w:rsid w:val="FFFB1593"/>
    <w:rsid w:val="FFFD6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16"/>
    <w:unhideWhenUsed/>
    <w:qFormat/>
    <w:uiPriority w:val="0"/>
    <w:pPr>
      <w:keepNext/>
      <w:keepLines/>
      <w:spacing w:before="280" w:after="290" w:line="374" w:lineRule="auto"/>
      <w:outlineLvl w:val="3"/>
    </w:pPr>
    <w:rPr>
      <w:rFonts w:ascii="Arial" w:hAnsi="Arial" w:eastAsia="黑体"/>
      <w:b/>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0"/>
    </w:rPr>
  </w:style>
  <w:style w:type="paragraph" w:styleId="5">
    <w:name w:val="Body Text"/>
    <w:basedOn w:val="1"/>
    <w:qFormat/>
    <w:uiPriority w:val="0"/>
    <w:pPr>
      <w:spacing w:after="120" w:afterLines="0" w:afterAutospacing="0"/>
    </w:pPr>
  </w:style>
  <w:style w:type="paragraph" w:styleId="6">
    <w:name w:val="Plain Text"/>
    <w:basedOn w:val="1"/>
    <w:qFormat/>
    <w:uiPriority w:val="0"/>
    <w:rPr>
      <w:rFonts w:ascii="宋体" w:hAnsi="Courier New"/>
    </w:rPr>
  </w:style>
  <w:style w:type="paragraph" w:styleId="7">
    <w:name w:val="Balloon Text"/>
    <w:basedOn w:val="1"/>
    <w:link w:val="20"/>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Emphasis"/>
    <w:basedOn w:val="12"/>
    <w:qFormat/>
    <w:uiPriority w:val="20"/>
    <w:rPr>
      <w:i/>
    </w:rPr>
  </w:style>
  <w:style w:type="paragraph" w:customStyle="1" w:styleId="14">
    <w:name w:val="msolistparagraph"/>
    <w:basedOn w:val="1"/>
    <w:qFormat/>
    <w:uiPriority w:val="0"/>
    <w:pPr>
      <w:ind w:firstLine="420" w:firstLineChars="200"/>
    </w:pPr>
    <w:rPr>
      <w:rFonts w:hint="eastAsia" w:ascii="仿宋_GB2312" w:hAnsi="Times New Roman" w:eastAsia="仿宋_GB2312"/>
      <w:sz w:val="32"/>
      <w:szCs w:val="32"/>
    </w:rPr>
  </w:style>
  <w:style w:type="paragraph" w:customStyle="1" w:styleId="15">
    <w:name w:val="列表段落1"/>
    <w:basedOn w:val="1"/>
    <w:qFormat/>
    <w:uiPriority w:val="0"/>
    <w:pPr>
      <w:ind w:firstLine="420" w:firstLineChars="200"/>
    </w:pPr>
    <w:rPr>
      <w:rFonts w:hint="eastAsia" w:ascii="仿宋_GB2312" w:hAnsi="Times New Roman" w:eastAsia="仿宋_GB2312"/>
      <w:sz w:val="32"/>
      <w:szCs w:val="32"/>
    </w:rPr>
  </w:style>
  <w:style w:type="character" w:customStyle="1" w:styleId="16">
    <w:name w:val="标题 4 字符"/>
    <w:basedOn w:val="12"/>
    <w:link w:val="4"/>
    <w:qFormat/>
    <w:uiPriority w:val="0"/>
    <w:rPr>
      <w:rFonts w:ascii="Arial" w:hAnsi="Arial" w:eastAsia="黑体" w:cs="Times New Roman"/>
      <w:b/>
      <w:sz w:val="28"/>
      <w:szCs w:val="28"/>
    </w:rPr>
  </w:style>
  <w:style w:type="character" w:customStyle="1" w:styleId="17">
    <w:name w:val="页眉 字符"/>
    <w:basedOn w:val="12"/>
    <w:link w:val="9"/>
    <w:semiHidden/>
    <w:qFormat/>
    <w:uiPriority w:val="99"/>
    <w:rPr>
      <w:rFonts w:ascii="Calibri" w:hAnsi="Calibri" w:eastAsia="宋体" w:cs="Times New Roman"/>
      <w:sz w:val="18"/>
      <w:szCs w:val="18"/>
    </w:rPr>
  </w:style>
  <w:style w:type="character" w:customStyle="1" w:styleId="18">
    <w:name w:val="页脚 字符"/>
    <w:basedOn w:val="12"/>
    <w:link w:val="8"/>
    <w:semiHidden/>
    <w:qFormat/>
    <w:uiPriority w:val="99"/>
    <w:rPr>
      <w:rFonts w:ascii="Calibri" w:hAnsi="Calibri" w:eastAsia="宋体" w:cs="Times New Roman"/>
      <w:sz w:val="18"/>
      <w:szCs w:val="18"/>
    </w:rPr>
  </w:style>
  <w:style w:type="character" w:customStyle="1" w:styleId="19">
    <w:name w:val="标题 2 字符"/>
    <w:basedOn w:val="12"/>
    <w:link w:val="3"/>
    <w:semiHidden/>
    <w:qFormat/>
    <w:uiPriority w:val="9"/>
    <w:rPr>
      <w:rFonts w:asciiTheme="majorHAnsi" w:hAnsiTheme="majorHAnsi" w:eastAsiaTheme="majorEastAsia" w:cstheme="majorBidi"/>
      <w:b/>
      <w:bCs/>
      <w:sz w:val="32"/>
      <w:szCs w:val="32"/>
    </w:rPr>
  </w:style>
  <w:style w:type="character" w:customStyle="1" w:styleId="20">
    <w:name w:val="批注框文本 字符"/>
    <w:basedOn w:val="12"/>
    <w:link w:val="7"/>
    <w:semiHidden/>
    <w:qFormat/>
    <w:uiPriority w:val="99"/>
    <w:rPr>
      <w:rFonts w:ascii="Calibri" w:hAnsi="Calibri" w:eastAsia="宋体" w:cs="Times New Roman"/>
      <w:sz w:val="18"/>
      <w:szCs w:val="18"/>
    </w:rPr>
  </w:style>
  <w:style w:type="paragraph" w:customStyle="1" w:styleId="21">
    <w:name w:val="列表段落2"/>
    <w:basedOn w:val="1"/>
    <w:qFormat/>
    <w:uiPriority w:val="0"/>
    <w:pPr>
      <w:jc w:val="center"/>
    </w:pPr>
    <w:rPr>
      <w:rFonts w:hint="eastAsia" w:ascii="仿宋_GB2312" w:hAnsi="Times New Roman" w:eastAsia="仿宋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277</Words>
  <Characters>1585</Characters>
  <Lines>13</Lines>
  <Paragraphs>3</Paragraphs>
  <TotalTime>6</TotalTime>
  <ScaleCrop>false</ScaleCrop>
  <LinksUpToDate>false</LinksUpToDate>
  <CharactersWithSpaces>1859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2022-08-15T10:54:00Z</dcterms:created>
  <dc:creator>付晶晶</dc:creator>
  <cp:lastModifiedBy>XUAN</cp:lastModifiedBy>
  <cp:lastPrinted>2022-12-05T23:06:00Z</cp:lastPrinted>
  <dcterms:modified xsi:type="dcterms:W3CDTF">2023-05-04T10:34:41Z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2C70DAD3041F4315847F58C5D2583BFC</vt:lpwstr>
  </property>
</Properties>
</file>