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EFD7DB4"/>
    <w:rsid w:val="1F4D4FFF"/>
    <w:rsid w:val="25B50252"/>
    <w:rsid w:val="300614F7"/>
    <w:rsid w:val="31604946"/>
    <w:rsid w:val="347B5110"/>
    <w:rsid w:val="42D962EA"/>
    <w:rsid w:val="556464DC"/>
    <w:rsid w:val="599149CF"/>
    <w:rsid w:val="615C4CC1"/>
    <w:rsid w:val="65E50BA6"/>
    <w:rsid w:val="69B575CC"/>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7-04T07: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