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深圳市体育馆周边（南北侧）市政绿地功能完善工程决策方案（征求意见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稿）</w:t>
      </w:r>
      <w:r>
        <w:rPr>
          <w:rFonts w:hint="eastAsia" w:ascii="方正小标宋简体" w:hAnsi="方正小标宋简体" w:eastAsia="方正小标宋简体" w:cs="方正小标宋简体"/>
          <w:sz w:val="44"/>
          <w:szCs w:val="44"/>
        </w:rPr>
        <w:t>》的起草说明</w:t>
      </w:r>
    </w:p>
    <w:p>
      <w:pPr>
        <w:rPr>
          <w:rFonts w:hint="eastAsia"/>
        </w:rPr>
      </w:pPr>
    </w:p>
    <w:p>
      <w:pPr>
        <w:keepNext w:val="0"/>
        <w:keepLines w:val="0"/>
        <w:pageBreakBefore w:val="0"/>
        <w:widowControl/>
        <w:kinsoku/>
        <w:wordWrap w:val="0"/>
        <w:overflowPunct/>
        <w:topLinePunct w:val="0"/>
        <w:autoSpaceDE w:val="0"/>
        <w:autoSpaceDN w:val="0"/>
        <w:bidi w:val="0"/>
        <w:adjustRightInd w:val="0"/>
        <w:snapToGrid w:val="0"/>
        <w:spacing w:line="560" w:lineRule="exact"/>
        <w:ind w:left="34" w:right="108" w:firstLine="629"/>
        <w:jc w:val="both"/>
        <w:textAlignment w:val="baseline"/>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经国务院批准，第十五届全国运动会（以下简称“十五运会”）拟定于2025年11月在广东省、香港特别行政区、澳门特别行政区举行。依惯例，十五运会结束后，将举办全国第十二届残疾人运动会暨第九届特殊奥林匹克运动会（以下简称“残特奥会”）。</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34" w:right="108" w:firstLine="629"/>
        <w:jc w:val="both"/>
        <w:textAlignment w:val="baseline"/>
        <w:rPr>
          <w:rFonts w:hint="eastAsia" w:ascii="仿宋" w:hAnsi="仿宋" w:eastAsia="仿宋" w:cs="仿宋"/>
          <w:spacing w:val="-3"/>
          <w:sz w:val="32"/>
          <w:szCs w:val="32"/>
          <w:highlight w:val="none"/>
          <w:lang w:eastAsia="zh-CN"/>
        </w:rPr>
      </w:pPr>
      <w:r>
        <w:rPr>
          <w:rFonts w:hint="eastAsia" w:ascii="仿宋" w:hAnsi="仿宋" w:eastAsia="仿宋" w:cs="仿宋"/>
          <w:spacing w:val="-3"/>
          <w:sz w:val="32"/>
          <w:szCs w:val="32"/>
          <w:highlight w:val="none"/>
        </w:rPr>
        <w:t>根据</w:t>
      </w:r>
      <w:r>
        <w:rPr>
          <w:rFonts w:hint="eastAsia" w:ascii="仿宋" w:hAnsi="仿宋" w:eastAsia="仿宋" w:cs="仿宋"/>
          <w:spacing w:val="-2"/>
          <w:sz w:val="32"/>
          <w:szCs w:val="32"/>
          <w:highlight w:val="none"/>
        </w:rPr>
        <w:t>《粤港澳大湾区发展规划纲要》</w:t>
      </w:r>
      <w:r>
        <w:rPr>
          <w:rFonts w:hint="eastAsia" w:ascii="仿宋" w:hAnsi="仿宋" w:eastAsia="仿宋" w:cs="仿宋"/>
          <w:spacing w:val="-3"/>
          <w:sz w:val="32"/>
          <w:szCs w:val="32"/>
          <w:highlight w:val="none"/>
          <w:lang w:eastAsia="zh-CN"/>
        </w:rPr>
        <w:t>《深圳市国家森林城市建设总体规划（2016-2025）》</w:t>
      </w:r>
      <w:r>
        <w:rPr>
          <w:rFonts w:hint="eastAsia" w:ascii="仿宋" w:hAnsi="仿宋" w:eastAsia="仿宋" w:cs="仿宋"/>
          <w:spacing w:val="-3"/>
          <w:sz w:val="32"/>
          <w:szCs w:val="32"/>
          <w:highlight w:val="none"/>
        </w:rPr>
        <w:t>《第十五届全国运动会和全国第十二届残疾人运动会暨第九届特殊奥林匹克运动会福田赛区筹备工作总体方案》（福委办字〔2024〕5号）《十五运会和残特奥会深圳赛区执委会关于印发〈第十五届全国运动会和全国第十二届残疾人运动会暨第九届特殊奥林匹克运动会深圳赛区城市品质提升工作方案〉的通知》（深执〔2024〕2号）</w:t>
      </w:r>
      <w:r>
        <w:rPr>
          <w:rFonts w:hint="eastAsia" w:ascii="仿宋" w:hAnsi="仿宋" w:eastAsia="仿宋" w:cs="仿宋"/>
          <w:spacing w:val="-3"/>
          <w:sz w:val="32"/>
          <w:szCs w:val="32"/>
          <w:highlight w:val="none"/>
          <w:lang w:val="en-US" w:eastAsia="zh-CN"/>
        </w:rPr>
        <w:t>的</w:t>
      </w:r>
      <w:r>
        <w:rPr>
          <w:rFonts w:hint="eastAsia" w:ascii="仿宋" w:hAnsi="仿宋" w:eastAsia="仿宋" w:cs="仿宋"/>
          <w:spacing w:val="-3"/>
          <w:sz w:val="32"/>
          <w:szCs w:val="32"/>
          <w:highlight w:val="none"/>
        </w:rPr>
        <w:t>要求，区城市管理和综合执法局作为城市品质提升工作牵头组建单位之一</w:t>
      </w:r>
      <w:r>
        <w:rPr>
          <w:rFonts w:hint="eastAsia" w:ascii="仿宋" w:hAnsi="仿宋" w:eastAsia="仿宋" w:cs="仿宋"/>
          <w:spacing w:val="-3"/>
          <w:sz w:val="32"/>
          <w:szCs w:val="32"/>
          <w:highlight w:val="none"/>
          <w:lang w:eastAsia="zh-CN"/>
        </w:rPr>
        <w:t>，</w:t>
      </w:r>
      <w:r>
        <w:rPr>
          <w:rFonts w:hint="eastAsia" w:ascii="仿宋" w:hAnsi="仿宋" w:eastAsia="仿宋" w:cs="仿宋"/>
          <w:spacing w:val="-3"/>
          <w:sz w:val="32"/>
          <w:szCs w:val="32"/>
          <w:highlight w:val="none"/>
          <w:lang w:val="en-US" w:eastAsia="zh-CN"/>
        </w:rPr>
        <w:t>协助</w:t>
      </w:r>
      <w:r>
        <w:rPr>
          <w:rFonts w:hint="eastAsia" w:ascii="仿宋" w:hAnsi="仿宋" w:eastAsia="仿宋" w:cs="仿宋"/>
          <w:spacing w:val="-3"/>
          <w:sz w:val="32"/>
          <w:szCs w:val="32"/>
          <w:highlight w:val="none"/>
        </w:rPr>
        <w:t>城市品质提升部根据赛会要求，研究制定市容环境品质提升方案并组织实施，组织开展市政绿地功能完善、环境卫生、园林绿化等专项提升行动，为赛事提供优质市容环境保障</w:t>
      </w:r>
      <w:r>
        <w:rPr>
          <w:rFonts w:hint="eastAsia" w:ascii="仿宋" w:hAnsi="仿宋" w:eastAsia="仿宋" w:cs="仿宋"/>
          <w:spacing w:val="-3"/>
          <w:sz w:val="32"/>
          <w:szCs w:val="32"/>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34" w:right="108" w:firstLine="629"/>
        <w:jc w:val="both"/>
        <w:textAlignment w:val="baseline"/>
        <w:rPr>
          <w:rFonts w:hint="eastAsia" w:ascii="仿宋" w:hAnsi="仿宋" w:eastAsia="仿宋" w:cs="仿宋"/>
          <w:spacing w:val="-3"/>
          <w:sz w:val="32"/>
          <w:szCs w:val="32"/>
          <w:highlight w:val="none"/>
        </w:rPr>
      </w:pPr>
      <w:r>
        <w:rPr>
          <w:rFonts w:hint="eastAsia" w:ascii="仿宋" w:hAnsi="仿宋" w:eastAsia="仿宋" w:cs="仿宋"/>
          <w:spacing w:val="-3"/>
          <w:sz w:val="32"/>
          <w:szCs w:val="32"/>
          <w:highlight w:val="none"/>
        </w:rPr>
        <w:t>根据区委区政府相关工作要求，本项目被列入福田区2024年重大行政决策。区城市管理和综合执法局在对深圳市体育中心周边市政绿地现状开展充分调研的基础之上，秉持“绿色、共享、开放、廉洁”的办赛理念，落实“简约、安全、精彩、科技”的办赛要求，根据《福田区重大行政决策程序规定》（福府规〔2021〕2号）制定《</w:t>
      </w:r>
      <w:r>
        <w:rPr>
          <w:rFonts w:hint="eastAsia" w:ascii="仿宋" w:hAnsi="仿宋" w:eastAsia="仿宋" w:cs="仿宋"/>
          <w:spacing w:val="-3"/>
          <w:sz w:val="32"/>
          <w:szCs w:val="32"/>
          <w:highlight w:val="none"/>
          <w:lang w:val="en-US" w:eastAsia="zh-CN"/>
        </w:rPr>
        <w:t>深圳市体育馆周边（南北侧）市政绿地功能完善工程</w:t>
      </w:r>
      <w:r>
        <w:rPr>
          <w:rFonts w:hint="eastAsia" w:ascii="仿宋" w:hAnsi="仿宋" w:eastAsia="仿宋" w:cs="仿宋"/>
          <w:spacing w:val="-3"/>
          <w:sz w:val="32"/>
          <w:szCs w:val="32"/>
          <w:highlight w:val="none"/>
        </w:rPr>
        <w:t>决策方案</w:t>
      </w:r>
      <w:r>
        <w:rPr>
          <w:rFonts w:hint="eastAsia" w:ascii="仿宋" w:hAnsi="仿宋" w:eastAsia="仿宋" w:cs="仿宋"/>
          <w:spacing w:val="-3"/>
          <w:sz w:val="32"/>
          <w:szCs w:val="32"/>
          <w:highlight w:val="none"/>
          <w:lang w:eastAsia="zh-CN"/>
        </w:rPr>
        <w:t>（</w:t>
      </w:r>
      <w:r>
        <w:rPr>
          <w:rFonts w:hint="eastAsia" w:ascii="仿宋" w:hAnsi="仿宋" w:eastAsia="仿宋" w:cs="仿宋"/>
          <w:spacing w:val="-3"/>
          <w:sz w:val="32"/>
          <w:szCs w:val="32"/>
          <w:highlight w:val="none"/>
          <w:lang w:val="en-US" w:eastAsia="zh-CN"/>
        </w:rPr>
        <w:t>征求意见稿）</w:t>
      </w:r>
      <w:r>
        <w:rPr>
          <w:rFonts w:hint="eastAsia" w:ascii="仿宋" w:hAnsi="仿宋" w:eastAsia="仿宋" w:cs="仿宋"/>
          <w:spacing w:val="-3"/>
          <w:sz w:val="32"/>
          <w:szCs w:val="32"/>
          <w:highlight w:val="none"/>
        </w:rPr>
        <w:t>》（以下简称</w:t>
      </w:r>
      <w:r>
        <w:rPr>
          <w:rFonts w:hint="eastAsia" w:ascii="仿宋" w:hAnsi="仿宋" w:eastAsia="仿宋" w:cs="仿宋"/>
          <w:spacing w:val="-3"/>
          <w:sz w:val="32"/>
          <w:szCs w:val="32"/>
          <w:highlight w:val="none"/>
          <w:lang w:eastAsia="zh-CN"/>
        </w:rPr>
        <w:t>“</w:t>
      </w:r>
      <w:r>
        <w:rPr>
          <w:rFonts w:hint="eastAsia" w:ascii="仿宋" w:hAnsi="仿宋" w:eastAsia="仿宋" w:cs="仿宋"/>
          <w:spacing w:val="-3"/>
          <w:sz w:val="32"/>
          <w:szCs w:val="32"/>
          <w:highlight w:val="none"/>
          <w:lang w:val="en-US" w:eastAsia="zh-CN"/>
        </w:rPr>
        <w:t>决策</w:t>
      </w:r>
      <w:r>
        <w:rPr>
          <w:rFonts w:hint="eastAsia" w:ascii="仿宋" w:hAnsi="仿宋" w:eastAsia="仿宋" w:cs="仿宋"/>
          <w:spacing w:val="-3"/>
          <w:sz w:val="32"/>
          <w:szCs w:val="32"/>
          <w:highlight w:val="none"/>
        </w:rPr>
        <w:t>方案</w:t>
      </w:r>
      <w:r>
        <w:rPr>
          <w:rFonts w:hint="eastAsia" w:ascii="仿宋" w:hAnsi="仿宋" w:eastAsia="仿宋" w:cs="仿宋"/>
          <w:spacing w:val="-3"/>
          <w:sz w:val="32"/>
          <w:szCs w:val="32"/>
          <w:highlight w:val="none"/>
          <w:lang w:eastAsia="zh-CN"/>
        </w:rPr>
        <w:t>”</w:t>
      </w:r>
      <w:r>
        <w:rPr>
          <w:rFonts w:hint="eastAsia" w:ascii="仿宋" w:hAnsi="仿宋" w:eastAsia="仿宋" w:cs="仿宋"/>
          <w:spacing w:val="-3"/>
          <w:sz w:val="32"/>
          <w:szCs w:val="32"/>
          <w:highlight w:val="none"/>
        </w:rPr>
        <w:t>），现就</w:t>
      </w:r>
      <w:r>
        <w:rPr>
          <w:rFonts w:hint="eastAsia" w:ascii="仿宋" w:hAnsi="仿宋" w:eastAsia="仿宋" w:cs="仿宋"/>
          <w:spacing w:val="-3"/>
          <w:sz w:val="32"/>
          <w:szCs w:val="32"/>
          <w:highlight w:val="none"/>
          <w:lang w:val="en-US" w:eastAsia="zh-CN"/>
        </w:rPr>
        <w:t>决策方案</w:t>
      </w:r>
      <w:r>
        <w:rPr>
          <w:rFonts w:hint="eastAsia" w:ascii="仿宋" w:hAnsi="仿宋" w:eastAsia="仿宋" w:cs="仿宋"/>
          <w:spacing w:val="-3"/>
          <w:sz w:val="32"/>
          <w:szCs w:val="32"/>
          <w:highlight w:val="none"/>
        </w:rPr>
        <w:t>说明如下：</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一、起草的必要性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2019年，《中共中央国务院关于支持深圳建设中国特色社会主义先行示范区的意见》正式发布，赋予深圳“打造可持续发展先锋”的战略定位。2020年10月14日，习近平总书记在深圳经济特区建立40周年庆祝大会上发表的重要讲话中提出：“必须践行绿水青山就是金山银山的理念，实现经济社会和生态环境全面协调可持续发展”。三年来，深圳市生态文明建设取得显著成效，“深圳蓝”已然成为深圳的一张新名片。</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深圳率先打造美丽中国典范规划纲要（2020—2035年）》提出，到2025年，深圳生态环境质量要达到国际先进水平；到2035年，达到国际一流水平；到本世纪中叶，成为全球生态环境标杆城市。《深圳市公园城市建设总体规划暨三年行动计划（2022—2024年）》提出，将在深圳构建全域公园体系，强调创新打造“类公园”空间，即通过复合利用各类功能空间，建设具有公园功能和品质的复合型绿色空间。通过“公园、类公园”体系建设，有效促进公园与城市的融合，提升城市空间发展质量和利用效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经国务院批准，第十五届全国运动会</w:t>
      </w:r>
      <w:r>
        <w:rPr>
          <w:rFonts w:hint="eastAsia" w:ascii="仿宋" w:hAnsi="仿宋" w:eastAsia="仿宋" w:cs="仿宋"/>
          <w:b w:val="0"/>
          <w:bCs w:val="0"/>
          <w:snapToGrid w:val="0"/>
          <w:spacing w:val="-2"/>
          <w:sz w:val="32"/>
          <w:szCs w:val="32"/>
          <w:highlight w:val="none"/>
          <w:lang w:val="en-US" w:eastAsia="zh-CN" w:bidi="ar-SA"/>
        </w:rPr>
        <w:t>（</w:t>
      </w:r>
      <w:r>
        <w:rPr>
          <w:rFonts w:hint="default" w:ascii="仿宋" w:hAnsi="仿宋" w:eastAsia="仿宋" w:cs="仿宋"/>
          <w:b w:val="0"/>
          <w:bCs w:val="0"/>
          <w:snapToGrid w:val="0"/>
          <w:spacing w:val="-2"/>
          <w:sz w:val="32"/>
          <w:szCs w:val="32"/>
          <w:highlight w:val="none"/>
          <w:lang w:val="en-US" w:eastAsia="zh-CN" w:bidi="ar-SA"/>
        </w:rPr>
        <w:t>以下简称“十五运会”</w:t>
      </w:r>
      <w:r>
        <w:rPr>
          <w:rFonts w:hint="eastAsia" w:ascii="仿宋" w:hAnsi="仿宋" w:eastAsia="仿宋" w:cs="仿宋"/>
          <w:b w:val="0"/>
          <w:bCs w:val="0"/>
          <w:snapToGrid w:val="0"/>
          <w:spacing w:val="-2"/>
          <w:sz w:val="32"/>
          <w:szCs w:val="32"/>
          <w:highlight w:val="none"/>
          <w:lang w:val="en-US" w:eastAsia="zh-CN" w:bidi="ar-SA"/>
        </w:rPr>
        <w:t>）</w:t>
      </w:r>
      <w:r>
        <w:rPr>
          <w:rFonts w:hint="default" w:ascii="仿宋" w:hAnsi="仿宋" w:eastAsia="仿宋" w:cs="仿宋"/>
          <w:b w:val="0"/>
          <w:bCs w:val="0"/>
          <w:snapToGrid w:val="0"/>
          <w:spacing w:val="-2"/>
          <w:sz w:val="32"/>
          <w:szCs w:val="32"/>
          <w:highlight w:val="none"/>
          <w:lang w:val="en-US" w:eastAsia="zh-CN" w:bidi="ar-SA"/>
        </w:rPr>
        <w:t>拟定于2025年11月在广东省、香港特别行政区、澳门特别行政区举行。依惯例，十五运会结束后，将举办全国第十二届残疾人运动会暨第九届特殊奥林匹克运动会</w:t>
      </w:r>
      <w:r>
        <w:rPr>
          <w:rFonts w:hint="eastAsia" w:ascii="仿宋" w:hAnsi="仿宋" w:eastAsia="仿宋" w:cs="仿宋"/>
          <w:b w:val="0"/>
          <w:bCs w:val="0"/>
          <w:snapToGrid w:val="0"/>
          <w:spacing w:val="-2"/>
          <w:sz w:val="32"/>
          <w:szCs w:val="32"/>
          <w:highlight w:val="none"/>
          <w:lang w:val="en-US" w:eastAsia="zh-CN" w:bidi="ar-SA"/>
        </w:rPr>
        <w:t>（</w:t>
      </w:r>
      <w:r>
        <w:rPr>
          <w:rFonts w:hint="default" w:ascii="仿宋" w:hAnsi="仿宋" w:eastAsia="仿宋" w:cs="仿宋"/>
          <w:b w:val="0"/>
          <w:bCs w:val="0"/>
          <w:snapToGrid w:val="0"/>
          <w:spacing w:val="-2"/>
          <w:sz w:val="32"/>
          <w:szCs w:val="32"/>
          <w:highlight w:val="none"/>
          <w:lang w:val="en-US" w:eastAsia="zh-CN" w:bidi="ar-SA"/>
        </w:rPr>
        <w:t>以下简称“残特奥会”</w:t>
      </w:r>
      <w:r>
        <w:rPr>
          <w:rFonts w:hint="eastAsia" w:ascii="仿宋" w:hAnsi="仿宋" w:eastAsia="仿宋" w:cs="仿宋"/>
          <w:b w:val="0"/>
          <w:bCs w:val="0"/>
          <w:snapToGrid w:val="0"/>
          <w:spacing w:val="-2"/>
          <w:sz w:val="32"/>
          <w:szCs w:val="32"/>
          <w:highlight w:val="none"/>
          <w:lang w:val="en-US" w:eastAsia="zh-CN" w:bidi="ar-SA"/>
        </w:rPr>
        <w:t>）</w:t>
      </w:r>
      <w:r>
        <w:rPr>
          <w:rFonts w:hint="default" w:ascii="仿宋" w:hAnsi="仿宋" w:eastAsia="仿宋" w:cs="仿宋"/>
          <w:b w:val="0"/>
          <w:bCs w:val="0"/>
          <w:snapToGrid w:val="0"/>
          <w:spacing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2023年9月14日，福田区召开区委八届五次全会，会议强调，全力争创“公园城市”典范，批量建成世界级“城市作品”，塑造精彩、难忘的“城市表情”。到2025年，形成山海相映、城景相融的环境格局，建成中国特色、中国风格、中国气派的世界级城市主客厅。建设超大城市中心城区可持续发展先锋区、世界级湾区生态文明建设样板区，让人与自然和谐共生成为福田最闪亮的名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2024年2月7日，福田区委区政府印发《第十五届全国运动会和全国第十二届残疾人运动会暨第九届特殊奥林匹克运动会福田赛区筹备工作总体方案》（福委办字〔2024〕5号）。方案在职责分工中明确，区城市管理和综合执法局作为城市品质提升工作牵头组建单位之一。城市品质提升部主要负责根据赛会要求，研究制定市容环境品质提升方案并组织实施，组织开展市政绿地功能完善、环境卫生、园林绿化等专项提升行动，为赛事提供优质市容环境保障。</w:t>
      </w:r>
    </w:p>
    <w:p>
      <w:pPr>
        <w:keepNext w:val="0"/>
        <w:keepLines w:val="0"/>
        <w:pageBreakBefore w:val="0"/>
        <w:widowControl/>
        <w:kinsoku/>
        <w:wordWrap w:val="0"/>
        <w:overflowPunct/>
        <w:topLinePunct w:val="0"/>
        <w:autoSpaceDE w:val="0"/>
        <w:autoSpaceDN w:val="0"/>
        <w:bidi w:val="0"/>
        <w:adjustRightInd w:val="0"/>
        <w:snapToGrid w:val="0"/>
        <w:spacing w:before="0" w:beforeLines="0" w:after="0" w:line="560" w:lineRule="exact"/>
        <w:ind w:left="28" w:right="11" w:firstLine="632" w:firstLineChars="200"/>
        <w:jc w:val="both"/>
        <w:textAlignment w:val="baseline"/>
        <w:rPr>
          <w:rFonts w:hint="eastAsia" w:ascii="仿宋" w:hAnsi="仿宋" w:eastAsia="仿宋" w:cs="仿宋"/>
          <w:b w:val="0"/>
          <w:bCs w:val="0"/>
          <w:snapToGrid w:val="0"/>
          <w:spacing w:val="-2"/>
          <w:sz w:val="32"/>
          <w:szCs w:val="32"/>
          <w:highlight w:val="none"/>
          <w:lang w:val="en-US" w:eastAsia="zh-CN" w:bidi="ar-SA"/>
        </w:rPr>
      </w:pPr>
      <w:r>
        <w:rPr>
          <w:rFonts w:hint="eastAsia" w:ascii="仿宋" w:hAnsi="仿宋" w:eastAsia="仿宋" w:cs="仿宋"/>
          <w:b w:val="0"/>
          <w:bCs w:val="0"/>
          <w:snapToGrid w:val="0"/>
          <w:spacing w:val="-2"/>
          <w:sz w:val="32"/>
          <w:szCs w:val="32"/>
          <w:highlight w:val="none"/>
          <w:lang w:val="en-US" w:eastAsia="zh-CN" w:bidi="ar-SA"/>
        </w:rPr>
        <w:t>2024年3月5日，十五运会和残特奥会深圳赛区执委会印发《第十五届全国运动会和全国第十二届残疾人运动会暨第九届特殊奥林匹克运动会深圳赛区城市品质提升工作方案》（深执〔2024〕2号），方案提出通过城市品质提升，为赛事活动提供整洁、干净、有序的城市环境和天蓝、地绿、水清的生态环境，推动文明洁净城市全面建成，高品质、高颜值的绿美公园城市风貌初步形成，人与自然和谐共生的美丽中国典范建设初见成效，城市管理“科学化、精细化、智能化”走在全国前列，实现城市管理共建、共治、共享，让城市环境更美丽、城市面貌更整洁、城市管理更精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snapToGrid w:val="0"/>
          <w:spacing w:val="-2"/>
          <w:sz w:val="32"/>
          <w:szCs w:val="32"/>
          <w:highlight w:val="none"/>
          <w:lang w:val="en-US" w:eastAsia="zh-CN" w:bidi="ar-SA"/>
        </w:rPr>
      </w:pPr>
      <w:r>
        <w:rPr>
          <w:rFonts w:hint="default" w:ascii="仿宋" w:hAnsi="仿宋" w:eastAsia="仿宋" w:cs="仿宋"/>
          <w:b w:val="0"/>
          <w:bCs w:val="0"/>
          <w:snapToGrid w:val="0"/>
          <w:spacing w:val="-2"/>
          <w:sz w:val="32"/>
          <w:szCs w:val="32"/>
          <w:highlight w:val="none"/>
          <w:lang w:val="en-US" w:eastAsia="zh-CN" w:bidi="ar-SA"/>
        </w:rPr>
        <w:t>为保障赛事的顺利进行，根据区委区政府相关工作要求，本项目被列入福田区2024年重大行政决策。区城市管理和综合执法局在对深圳市体育中心周边市政绿地现状开展充分调研的基础之上，秉持“绿色、共享、开放、廉洁”的办赛理念，落实“简约、安全、精彩、科技”的办赛要求，根据《福田区重大行政决策程序规定》（福府规〔2021〕2号）制定本项目决策方案（征求意见稿）。</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二、主要依据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pacing w:val="-3"/>
          <w:sz w:val="32"/>
          <w:szCs w:val="32"/>
          <w:highlight w:val="none"/>
          <w:lang w:val="en-US" w:eastAsia="zh-CN"/>
        </w:rPr>
        <w:t>项目决策方案编制的主要依据如下：</w:t>
      </w:r>
    </w:p>
    <w:p>
      <w:pPr>
        <w:keepNext w:val="0"/>
        <w:keepLines w:val="0"/>
        <w:pageBreakBefore w:val="0"/>
        <w:widowControl/>
        <w:kinsoku w:val="0"/>
        <w:wordWrap/>
        <w:overflowPunct/>
        <w:topLinePunct w:val="0"/>
        <w:autoSpaceDE w:val="0"/>
        <w:autoSpaceDN w:val="0"/>
        <w:bidi w:val="0"/>
        <w:adjustRightInd w:val="0"/>
        <w:snapToGrid w:val="0"/>
        <w:spacing w:before="157" w:beforeLines="50" w:line="560" w:lineRule="exact"/>
        <w:ind w:firstLine="669"/>
        <w:textAlignment w:val="baseline"/>
        <w:outlineLvl w:val="1"/>
        <w:rPr>
          <w:rFonts w:hint="eastAsia" w:ascii="楷体" w:hAnsi="楷体" w:eastAsia="楷体" w:cs="楷体"/>
          <w:sz w:val="32"/>
          <w:szCs w:val="32"/>
        </w:rPr>
      </w:pPr>
      <w:bookmarkStart w:id="0" w:name="_Toc28219"/>
      <w:r>
        <w:rPr>
          <w:rFonts w:hint="eastAsia" w:ascii="楷体" w:hAnsi="楷体" w:eastAsia="楷体" w:cs="楷体"/>
          <w:spacing w:val="-2"/>
          <w:sz w:val="32"/>
          <w:szCs w:val="32"/>
          <w:lang w:val="en-US" w:eastAsia="zh-CN"/>
        </w:rPr>
        <w:t>（一）</w:t>
      </w:r>
      <w:r>
        <w:rPr>
          <w:rFonts w:hint="eastAsia" w:ascii="楷体" w:hAnsi="楷体" w:eastAsia="楷体" w:cs="楷体"/>
          <w:spacing w:val="-2"/>
          <w:sz w:val="32"/>
          <w:szCs w:val="32"/>
        </w:rPr>
        <w:t>国家法律、政策、标准依据</w:t>
      </w:r>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rPr>
      </w:pPr>
      <w:bookmarkStart w:id="1" w:name="_Toc31053"/>
      <w:r>
        <w:rPr>
          <w:rFonts w:hint="eastAsia" w:ascii="仿宋" w:hAnsi="仿宋" w:eastAsia="仿宋" w:cs="仿宋"/>
          <w:spacing w:val="-11"/>
          <w:sz w:val="32"/>
          <w:szCs w:val="32"/>
        </w:rPr>
        <w:t>《城市绿化条例》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color w:val="auto"/>
          <w:spacing w:val="-2"/>
          <w:sz w:val="32"/>
          <w:szCs w:val="32"/>
          <w:highlight w:val="yellow"/>
          <w:lang w:val="en-US" w:eastAsia="zh-CN" w:bidi="ar-SA"/>
        </w:rPr>
      </w:pPr>
      <w:r>
        <w:rPr>
          <w:rFonts w:hint="eastAsia" w:ascii="仿宋" w:hAnsi="仿宋" w:eastAsia="仿宋" w:cs="仿宋"/>
          <w:spacing w:val="-11"/>
          <w:sz w:val="32"/>
          <w:szCs w:val="32"/>
        </w:rPr>
        <w:t>《粤港澳大湾区发展规划纲要》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《城市绿地设计规范》(GB 50420-2007)(2016年版</w:t>
      </w:r>
      <w:r>
        <w:rPr>
          <w:rFonts w:hint="eastAsia" w:ascii="仿宋" w:hAnsi="仿宋" w:eastAsia="仿宋" w:cs="仿宋"/>
          <w:spacing w:val="-11"/>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lang w:eastAsia="zh-CN"/>
        </w:rPr>
      </w:pPr>
      <w:r>
        <w:rPr>
          <w:rFonts w:hint="eastAsia" w:ascii="仿宋" w:hAnsi="仿宋" w:eastAsia="仿宋" w:cs="仿宋"/>
          <w:spacing w:val="-11"/>
          <w:sz w:val="32"/>
          <w:szCs w:val="32"/>
          <w:highlight w:val="none"/>
        </w:rPr>
        <w:t>《城市道路绿化设计标准》</w:t>
      </w:r>
      <w:r>
        <w:rPr>
          <w:rFonts w:hint="eastAsia" w:ascii="仿宋" w:hAnsi="仿宋" w:eastAsia="仿宋" w:cs="仿宋"/>
          <w:spacing w:val="-11"/>
          <w:sz w:val="32"/>
          <w:szCs w:val="32"/>
          <w:highlight w:val="none"/>
          <w:lang w:eastAsia="zh-CN"/>
        </w:rPr>
        <w:t>（CJJ/T</w:t>
      </w:r>
      <w:r>
        <w:rPr>
          <w:rFonts w:hint="eastAsia" w:ascii="仿宋" w:hAnsi="仿宋" w:eastAsia="仿宋" w:cs="仿宋"/>
          <w:spacing w:val="-11"/>
          <w:sz w:val="32"/>
          <w:szCs w:val="32"/>
          <w:highlight w:val="none"/>
          <w:lang w:val="en-US" w:eastAsia="zh-CN"/>
        </w:rPr>
        <w:t xml:space="preserve"> </w:t>
      </w:r>
      <w:r>
        <w:rPr>
          <w:rFonts w:hint="eastAsia" w:ascii="仿宋" w:hAnsi="仿宋" w:eastAsia="仿宋" w:cs="仿宋"/>
          <w:spacing w:val="-11"/>
          <w:sz w:val="32"/>
          <w:szCs w:val="32"/>
          <w:highlight w:val="none"/>
          <w:lang w:eastAsia="zh-CN"/>
        </w:rPr>
        <w:t>75-2023）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《公园设计规范》（GB 51192-2016）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《建设工程工程量清单计价规范》（GB</w:t>
      </w:r>
      <w:r>
        <w:rPr>
          <w:rFonts w:hint="eastAsia" w:ascii="仿宋" w:hAnsi="仿宋" w:eastAsia="仿宋" w:cs="仿宋"/>
          <w:spacing w:val="-11"/>
          <w:sz w:val="32"/>
          <w:szCs w:val="32"/>
          <w:highlight w:val="none"/>
          <w:lang w:val="en-US" w:eastAsia="zh-CN"/>
        </w:rPr>
        <w:t xml:space="preserve"> </w:t>
      </w:r>
      <w:r>
        <w:rPr>
          <w:rFonts w:hint="eastAsia" w:ascii="仿宋" w:hAnsi="仿宋" w:eastAsia="仿宋" w:cs="仿宋"/>
          <w:spacing w:val="-11"/>
          <w:sz w:val="32"/>
          <w:szCs w:val="32"/>
          <w:highlight w:val="none"/>
        </w:rPr>
        <w:t>50500-2013）</w:t>
      </w:r>
    </w:p>
    <w:p>
      <w:pPr>
        <w:keepNext w:val="0"/>
        <w:keepLines w:val="0"/>
        <w:pageBreakBefore w:val="0"/>
        <w:widowControl/>
        <w:kinsoku w:val="0"/>
        <w:wordWrap/>
        <w:overflowPunct/>
        <w:topLinePunct w:val="0"/>
        <w:autoSpaceDE w:val="0"/>
        <w:autoSpaceDN w:val="0"/>
        <w:bidi w:val="0"/>
        <w:adjustRightInd w:val="0"/>
        <w:snapToGrid w:val="0"/>
        <w:spacing w:before="157" w:beforeLines="50" w:line="560" w:lineRule="exact"/>
        <w:ind w:firstLine="663"/>
        <w:jc w:val="both"/>
        <w:textAlignment w:val="baseline"/>
        <w:rPr>
          <w:rFonts w:hint="eastAsia" w:ascii="仿宋" w:hAnsi="仿宋" w:eastAsia="仿宋" w:cs="仿宋"/>
          <w:spacing w:val="-11"/>
          <w:sz w:val="32"/>
          <w:szCs w:val="32"/>
          <w:highlight w:val="none"/>
        </w:rPr>
      </w:pPr>
      <w:r>
        <w:rPr>
          <w:rFonts w:hint="eastAsia" w:ascii="楷体" w:hAnsi="楷体" w:eastAsia="楷体" w:cs="楷体"/>
          <w:spacing w:val="-2"/>
          <w:sz w:val="32"/>
          <w:szCs w:val="32"/>
          <w:lang w:val="en-US" w:eastAsia="zh-CN"/>
        </w:rPr>
        <w:t>（二）</w:t>
      </w:r>
      <w:bookmarkEnd w:id="1"/>
      <w:r>
        <w:rPr>
          <w:rFonts w:hint="eastAsia" w:ascii="楷体" w:hAnsi="楷体" w:eastAsia="楷体" w:cs="楷体"/>
          <w:spacing w:val="-2"/>
          <w:sz w:val="32"/>
          <w:szCs w:val="32"/>
          <w:lang w:val="en-US" w:eastAsia="zh-CN"/>
        </w:rPr>
        <w:t>广东省政策、深圳市法规、规章、政策、标准依据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ascii="仿宋" w:hAnsi="仿宋" w:eastAsia="仿宋" w:cs="仿宋"/>
          <w:spacing w:val="-11"/>
          <w:sz w:val="32"/>
          <w:szCs w:val="32"/>
          <w:highlight w:val="none"/>
        </w:rPr>
      </w:pPr>
      <w:r>
        <w:rPr>
          <w:rFonts w:hint="eastAsia" w:ascii="仿宋" w:hAnsi="仿宋" w:eastAsia="仿宋" w:cs="仿宋"/>
          <w:color w:val="auto"/>
          <w:spacing w:val="-2"/>
          <w:sz w:val="32"/>
          <w:szCs w:val="32"/>
          <w:highlight w:val="none"/>
        </w:rPr>
        <w:t>《关于深入推进绿美广东生态建设的实施方案》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ascii="仿宋" w:hAnsi="仿宋" w:eastAsia="仿宋" w:cs="仿宋"/>
          <w:spacing w:val="-11"/>
          <w:sz w:val="32"/>
          <w:szCs w:val="32"/>
          <w:highlight w:val="none"/>
        </w:rPr>
      </w:pPr>
      <w:r>
        <w:rPr>
          <w:rFonts w:ascii="仿宋" w:hAnsi="仿宋" w:eastAsia="仿宋" w:cs="仿宋"/>
          <w:spacing w:val="-11"/>
          <w:sz w:val="32"/>
          <w:szCs w:val="32"/>
          <w:highlight w:val="none"/>
        </w:rPr>
        <w:t>《深圳经济特区绿化条例》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lang w:eastAsia="zh-CN"/>
        </w:rPr>
      </w:pPr>
      <w:r>
        <w:rPr>
          <w:rFonts w:hint="eastAsia" w:ascii="仿宋" w:hAnsi="仿宋" w:eastAsia="仿宋" w:cs="仿宋"/>
          <w:spacing w:val="-11"/>
          <w:sz w:val="32"/>
          <w:szCs w:val="32"/>
          <w:highlight w:val="none"/>
        </w:rPr>
        <w:t>《深圳市城市规划条例》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lang w:val="en-US" w:eastAsia="zh-CN"/>
        </w:rPr>
      </w:pPr>
      <w:r>
        <w:rPr>
          <w:rFonts w:hint="eastAsia" w:ascii="仿宋" w:hAnsi="仿宋" w:eastAsia="仿宋" w:cs="仿宋"/>
          <w:spacing w:val="-11"/>
          <w:sz w:val="32"/>
          <w:szCs w:val="32"/>
          <w:highlight w:val="none"/>
          <w:lang w:eastAsia="zh-CN"/>
        </w:rPr>
        <w:t>《</w:t>
      </w:r>
      <w:r>
        <w:rPr>
          <w:rFonts w:hint="eastAsia" w:ascii="仿宋" w:hAnsi="仿宋" w:eastAsia="仿宋" w:cs="仿宋"/>
          <w:spacing w:val="-11"/>
          <w:sz w:val="32"/>
          <w:szCs w:val="32"/>
          <w:highlight w:val="none"/>
          <w:lang w:val="en-US" w:eastAsia="zh-CN"/>
        </w:rPr>
        <w:t>深圳经济特区城市园林条例》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lang w:val="en-US" w:eastAsia="zh-CN"/>
        </w:rPr>
      </w:pPr>
      <w:r>
        <w:rPr>
          <w:rFonts w:hint="eastAsia" w:ascii="仿宋" w:hAnsi="仿宋" w:eastAsia="仿宋" w:cs="仿宋"/>
          <w:spacing w:val="-11"/>
          <w:sz w:val="32"/>
          <w:szCs w:val="32"/>
          <w:highlight w:val="none"/>
          <w:lang w:val="en-US" w:eastAsia="zh-CN"/>
        </w:rPr>
        <w:t>《深圳市国土空间规划保护与发展“十四五”规划》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ascii="仿宋" w:hAnsi="仿宋" w:eastAsia="仿宋" w:cs="仿宋"/>
          <w:spacing w:val="-11"/>
          <w:sz w:val="32"/>
          <w:szCs w:val="32"/>
          <w:highlight w:val="none"/>
        </w:rPr>
        <w:t>《</w:t>
      </w:r>
      <w:r>
        <w:rPr>
          <w:rFonts w:hint="eastAsia" w:ascii="仿宋" w:hAnsi="仿宋" w:eastAsia="仿宋" w:cs="仿宋"/>
          <w:spacing w:val="-11"/>
          <w:sz w:val="32"/>
          <w:szCs w:val="32"/>
          <w:highlight w:val="none"/>
        </w:rPr>
        <w:t>深圳市绿地系统规划》</w:t>
      </w:r>
      <w:r>
        <w:rPr>
          <w:rFonts w:hint="eastAsia" w:ascii="仿宋" w:hAnsi="仿宋" w:eastAsia="仿宋" w:cs="仿宋"/>
          <w:spacing w:val="-11"/>
          <w:sz w:val="32"/>
          <w:szCs w:val="32"/>
          <w:highlight w:val="none"/>
          <w:lang w:eastAsia="zh-CN"/>
        </w:rPr>
        <w:t>（</w:t>
      </w:r>
      <w:r>
        <w:rPr>
          <w:rFonts w:ascii="仿宋" w:hAnsi="仿宋" w:eastAsia="仿宋" w:cs="仿宋"/>
          <w:spacing w:val="-11"/>
          <w:sz w:val="32"/>
          <w:szCs w:val="32"/>
          <w:highlight w:val="none"/>
        </w:rPr>
        <w:t>2014-2030</w:t>
      </w:r>
      <w:r>
        <w:rPr>
          <w:rFonts w:hint="eastAsia" w:ascii="仿宋" w:hAnsi="仿宋" w:eastAsia="仿宋" w:cs="仿宋"/>
          <w:spacing w:val="-11"/>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7" w:firstLine="612" w:firstLineChars="200"/>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7"/>
          <w:sz w:val="32"/>
          <w:szCs w:val="32"/>
          <w:highlight w:val="none"/>
        </w:rPr>
        <w:t>《深圳市国民经济和社会发展第十四个五年规划和二〇三五年远景目标纲要》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《深圳市公园城市建设总体规划暨三年行动计划（2022—2024年）》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《深圳市国家森林城市建设总体规划</w:t>
      </w:r>
      <w:r>
        <w:rPr>
          <w:rFonts w:hint="eastAsia" w:ascii="仿宋" w:hAnsi="仿宋" w:eastAsia="仿宋" w:cs="仿宋"/>
          <w:spacing w:val="-11"/>
          <w:sz w:val="32"/>
          <w:szCs w:val="32"/>
          <w:highlight w:val="none"/>
          <w:lang w:eastAsia="zh-CN"/>
        </w:rPr>
        <w:t>（</w:t>
      </w:r>
      <w:r>
        <w:rPr>
          <w:rFonts w:hint="eastAsia" w:ascii="仿宋" w:hAnsi="仿宋" w:eastAsia="仿宋" w:cs="仿宋"/>
          <w:spacing w:val="-11"/>
          <w:sz w:val="32"/>
          <w:szCs w:val="32"/>
          <w:highlight w:val="none"/>
        </w:rPr>
        <w:t>2016-2025)》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《十五运会和残特奥会深圳赛区执委会关于印发</w:t>
      </w:r>
      <w:r>
        <w:rPr>
          <w:rFonts w:hint="eastAsia" w:ascii="仿宋" w:hAnsi="仿宋" w:eastAsia="仿宋" w:cs="仿宋"/>
          <w:spacing w:val="-11"/>
          <w:sz w:val="32"/>
          <w:szCs w:val="32"/>
          <w:highlight w:val="none"/>
          <w:lang w:eastAsia="zh-CN"/>
        </w:rPr>
        <w:t>〈</w:t>
      </w:r>
      <w:r>
        <w:rPr>
          <w:rFonts w:hint="eastAsia" w:ascii="仿宋" w:hAnsi="仿宋" w:eastAsia="仿宋" w:cs="仿宋"/>
          <w:spacing w:val="-11"/>
          <w:sz w:val="32"/>
          <w:szCs w:val="32"/>
          <w:highlight w:val="none"/>
        </w:rPr>
        <w:t>第十五届全国运动会和全国第十二届残疾人运动会暨第九届特殊奥林匹克运动会深圳赛区城市品质提升工作方案</w:t>
      </w:r>
      <w:r>
        <w:rPr>
          <w:rFonts w:hint="eastAsia" w:ascii="仿宋" w:hAnsi="仿宋" w:eastAsia="仿宋" w:cs="仿宋"/>
          <w:spacing w:val="-11"/>
          <w:sz w:val="32"/>
          <w:szCs w:val="32"/>
          <w:highlight w:val="none"/>
          <w:lang w:eastAsia="zh-CN"/>
        </w:rPr>
        <w:t>〉</w:t>
      </w:r>
      <w:r>
        <w:rPr>
          <w:rFonts w:hint="eastAsia" w:ascii="仿宋" w:hAnsi="仿宋" w:eastAsia="仿宋" w:cs="仿宋"/>
          <w:spacing w:val="-11"/>
          <w:sz w:val="32"/>
          <w:szCs w:val="32"/>
          <w:highlight w:val="none"/>
        </w:rPr>
        <w:t>的通知》（深执〔2024〕2号）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《深圳市城市规划标准与准则》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《园林绿化施工规范</w:t>
      </w:r>
      <w:r>
        <w:rPr>
          <w:rFonts w:hint="eastAsia" w:ascii="仿宋" w:hAnsi="仿宋" w:eastAsia="仿宋" w:cs="仿宋"/>
          <w:spacing w:val="-11"/>
          <w:sz w:val="32"/>
          <w:szCs w:val="32"/>
          <w:highlight w:val="none"/>
          <w:lang w:eastAsia="zh-CN"/>
        </w:rPr>
        <w:t>（</w:t>
      </w:r>
      <w:r>
        <w:rPr>
          <w:rFonts w:hint="eastAsia" w:ascii="仿宋" w:hAnsi="仿宋" w:eastAsia="仿宋" w:cs="仿宋"/>
          <w:spacing w:val="-11"/>
          <w:sz w:val="32"/>
          <w:szCs w:val="32"/>
          <w:highlight w:val="none"/>
        </w:rPr>
        <w:t>DB</w:t>
      </w:r>
      <w:r>
        <w:rPr>
          <w:rFonts w:hint="eastAsia" w:ascii="仿宋" w:hAnsi="仿宋" w:eastAsia="仿宋" w:cs="仿宋"/>
          <w:spacing w:val="-11"/>
          <w:sz w:val="32"/>
          <w:szCs w:val="32"/>
          <w:highlight w:val="none"/>
          <w:lang w:val="en-US" w:eastAsia="zh-CN"/>
        </w:rPr>
        <w:t xml:space="preserve"> </w:t>
      </w:r>
      <w:r>
        <w:rPr>
          <w:rFonts w:hint="eastAsia" w:ascii="仿宋" w:hAnsi="仿宋" w:eastAsia="仿宋" w:cs="仿宋"/>
          <w:spacing w:val="-11"/>
          <w:sz w:val="32"/>
          <w:szCs w:val="32"/>
          <w:highlight w:val="none"/>
        </w:rPr>
        <w:t>440300/T8-1999)》</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《公园设施维护技术规范》(SZDB/Z 194-2016)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《公园园容绿化管理规范》(SZDB/Z 205-2016)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《综合公园建设规范》(SZDB/Z</w:t>
      </w:r>
      <w:r>
        <w:rPr>
          <w:rFonts w:hint="eastAsia" w:ascii="仿宋" w:hAnsi="仿宋" w:eastAsia="仿宋" w:cs="仿宋"/>
          <w:spacing w:val="-11"/>
          <w:sz w:val="32"/>
          <w:szCs w:val="32"/>
          <w:highlight w:val="none"/>
          <w:lang w:val="en-US" w:eastAsia="zh-CN"/>
        </w:rPr>
        <w:t xml:space="preserve"> </w:t>
      </w:r>
      <w:r>
        <w:rPr>
          <w:rFonts w:hint="eastAsia" w:ascii="仿宋" w:hAnsi="仿宋" w:eastAsia="仿宋" w:cs="仿宋"/>
          <w:spacing w:val="-11"/>
          <w:sz w:val="32"/>
          <w:szCs w:val="32"/>
          <w:highlight w:val="none"/>
        </w:rPr>
        <w:t>80-2013)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highlight w:val="none"/>
        </w:rPr>
      </w:pPr>
      <w:r>
        <w:rPr>
          <w:rFonts w:hint="eastAsia" w:ascii="仿宋" w:hAnsi="仿宋" w:eastAsia="仿宋" w:cs="仿宋"/>
          <w:spacing w:val="-11"/>
          <w:sz w:val="32"/>
          <w:szCs w:val="32"/>
          <w:highlight w:val="none"/>
        </w:rPr>
        <w:t>《综合公园管养维护要求》(SZDB/Z 81-2013)</w:t>
      </w:r>
    </w:p>
    <w:p>
      <w:pPr>
        <w:keepNext w:val="0"/>
        <w:keepLines w:val="0"/>
        <w:pageBreakBefore w:val="0"/>
        <w:widowControl/>
        <w:kinsoku/>
        <w:wordWrap w:val="0"/>
        <w:overflowPunct/>
        <w:topLinePunct w:val="0"/>
        <w:autoSpaceDE w:val="0"/>
        <w:autoSpaceDN w:val="0"/>
        <w:bidi w:val="0"/>
        <w:adjustRightInd w:val="0"/>
        <w:snapToGrid w:val="0"/>
        <w:spacing w:before="157" w:beforeLines="50" w:line="560" w:lineRule="exact"/>
        <w:ind w:firstLine="632" w:firstLineChars="200"/>
        <w:textAlignment w:val="baseline"/>
        <w:rPr>
          <w:rFonts w:hint="eastAsia" w:ascii="仿宋" w:hAnsi="仿宋" w:eastAsia="仿宋" w:cs="仿宋"/>
          <w:spacing w:val="-11"/>
          <w:sz w:val="32"/>
          <w:szCs w:val="32"/>
        </w:rPr>
      </w:pPr>
      <w:r>
        <w:rPr>
          <w:rFonts w:hint="eastAsia" w:ascii="楷体" w:hAnsi="楷体" w:eastAsia="楷体" w:cs="楷体"/>
          <w:spacing w:val="-2"/>
          <w:sz w:val="32"/>
          <w:szCs w:val="32"/>
          <w:lang w:val="en-US" w:eastAsia="zh-CN"/>
        </w:rPr>
        <w:t>（三）福田区政策、标准依据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jc w:val="both"/>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《第十五届全国运动会和全国第十二届残疾人运动会暨第九届特殊奥林匹克运动会福田赛区筹备工作总体方案》（福委办字〔2024〕5号）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63" w:right="177" w:firstLine="0"/>
        <w:jc w:val="both"/>
        <w:textAlignment w:val="baseline"/>
        <w:rPr>
          <w:rFonts w:hint="eastAsia" w:ascii="仿宋" w:hAnsi="仿宋" w:eastAsia="仿宋" w:cs="仿宋"/>
          <w:spacing w:val="-7"/>
          <w:sz w:val="32"/>
          <w:szCs w:val="32"/>
          <w:highlight w:val="none"/>
        </w:rPr>
      </w:pPr>
      <w:r>
        <w:rPr>
          <w:rFonts w:hint="eastAsia" w:ascii="仿宋" w:hAnsi="仿宋" w:eastAsia="仿宋" w:cs="仿宋"/>
          <w:spacing w:val="-7"/>
          <w:sz w:val="32"/>
          <w:szCs w:val="32"/>
          <w:highlight w:val="none"/>
        </w:rPr>
        <w:t>《福田区政府投资项目前期咨询报告编制导则》（福发改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177" w:firstLine="0"/>
        <w:jc w:val="both"/>
        <w:textAlignment w:val="baseline"/>
        <w:rPr>
          <w:rFonts w:hint="eastAsia" w:ascii="仿宋" w:hAnsi="仿宋" w:eastAsia="仿宋" w:cs="仿宋"/>
          <w:spacing w:val="-7"/>
          <w:sz w:val="32"/>
          <w:szCs w:val="32"/>
          <w:highlight w:val="none"/>
        </w:rPr>
      </w:pPr>
      <w:r>
        <w:rPr>
          <w:rFonts w:hint="eastAsia" w:ascii="仿宋" w:hAnsi="仿宋" w:eastAsia="仿宋" w:cs="仿宋"/>
          <w:spacing w:val="-7"/>
          <w:sz w:val="32"/>
          <w:szCs w:val="32"/>
          <w:highlight w:val="none"/>
        </w:rPr>
        <w:t>规〔2020〕1号）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63" w:right="177" w:firstLine="0"/>
        <w:jc w:val="both"/>
        <w:textAlignment w:val="baseline"/>
        <w:rPr>
          <w:rFonts w:hint="eastAsia" w:ascii="仿宋" w:hAnsi="仿宋" w:eastAsia="仿宋" w:cs="仿宋"/>
          <w:spacing w:val="-11"/>
          <w:sz w:val="32"/>
          <w:szCs w:val="32"/>
        </w:rPr>
      </w:pPr>
      <w:r>
        <w:rPr>
          <w:rFonts w:ascii="仿宋" w:hAnsi="仿宋" w:eastAsia="仿宋" w:cs="仿宋"/>
          <w:spacing w:val="-7"/>
          <w:sz w:val="32"/>
          <w:szCs w:val="32"/>
          <w:highlight w:val="none"/>
        </w:rPr>
        <w:t>《福田区法定图则》</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三、主要内容的说明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决策</w:t>
      </w:r>
      <w:r>
        <w:rPr>
          <w:rFonts w:hint="eastAsia" w:ascii="仿宋" w:hAnsi="仿宋" w:eastAsia="仿宋" w:cs="仿宋"/>
          <w:sz w:val="32"/>
          <w:szCs w:val="32"/>
        </w:rPr>
        <w:t>方案》</w:t>
      </w:r>
      <w:r>
        <w:rPr>
          <w:rFonts w:hint="eastAsia" w:ascii="仿宋" w:hAnsi="仿宋" w:eastAsia="仿宋" w:cs="仿宋"/>
          <w:sz w:val="32"/>
          <w:szCs w:val="32"/>
          <w:lang w:val="en-US" w:eastAsia="zh-CN"/>
        </w:rPr>
        <w:t>内容</w:t>
      </w:r>
      <w:r>
        <w:rPr>
          <w:rFonts w:hint="eastAsia" w:ascii="仿宋" w:hAnsi="仿宋" w:eastAsia="仿宋" w:cs="仿宋"/>
          <w:sz w:val="32"/>
          <w:szCs w:val="32"/>
        </w:rPr>
        <w:t>共分</w:t>
      </w:r>
      <w:r>
        <w:rPr>
          <w:rFonts w:hint="eastAsia" w:ascii="仿宋" w:hAnsi="仿宋" w:eastAsia="仿宋" w:cs="仿宋"/>
          <w:sz w:val="32"/>
          <w:szCs w:val="32"/>
          <w:lang w:val="en-US" w:eastAsia="zh-CN"/>
        </w:rPr>
        <w:t>为</w:t>
      </w:r>
      <w:r>
        <w:rPr>
          <w:rFonts w:hint="eastAsia" w:ascii="仿宋" w:hAnsi="仿宋" w:eastAsia="仿宋" w:cs="仿宋"/>
          <w:sz w:val="32"/>
          <w:szCs w:val="32"/>
        </w:rPr>
        <w:t>十章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第一章“总论”。主要包含</w:t>
      </w:r>
      <w:r>
        <w:rPr>
          <w:rFonts w:hint="eastAsia" w:ascii="仿宋" w:hAnsi="仿宋" w:eastAsia="仿宋" w:cs="仿宋"/>
          <w:sz w:val="32"/>
          <w:szCs w:val="32"/>
          <w:lang w:val="en-US" w:eastAsia="zh-CN"/>
        </w:rPr>
        <w:t>工程概况</w:t>
      </w:r>
      <w:r>
        <w:rPr>
          <w:rFonts w:hint="eastAsia" w:ascii="仿宋" w:hAnsi="仿宋" w:eastAsia="仿宋" w:cs="仿宋"/>
          <w:sz w:val="32"/>
          <w:szCs w:val="32"/>
        </w:rPr>
        <w:t>、编制依据、</w:t>
      </w:r>
      <w:r>
        <w:rPr>
          <w:rFonts w:hint="eastAsia" w:ascii="仿宋" w:hAnsi="仿宋" w:eastAsia="仿宋" w:cs="仿宋"/>
          <w:sz w:val="32"/>
          <w:szCs w:val="32"/>
          <w:lang w:val="en-US" w:eastAsia="zh-CN"/>
        </w:rPr>
        <w:t>项目内容</w:t>
      </w:r>
      <w:r>
        <w:rPr>
          <w:rFonts w:hint="eastAsia" w:ascii="仿宋" w:hAnsi="仿宋" w:eastAsia="仿宋" w:cs="仿宋"/>
          <w:sz w:val="32"/>
          <w:szCs w:val="32"/>
        </w:rPr>
        <w:t>、</w:t>
      </w:r>
      <w:r>
        <w:rPr>
          <w:rFonts w:hint="eastAsia" w:ascii="仿宋" w:hAnsi="仿宋" w:eastAsia="仿宋" w:cs="仿宋"/>
          <w:sz w:val="32"/>
          <w:szCs w:val="32"/>
          <w:lang w:val="en-US" w:eastAsia="zh-CN"/>
        </w:rPr>
        <w:t>项目经费、项目工期</w:t>
      </w:r>
      <w:r>
        <w:rPr>
          <w:rFonts w:hint="eastAsia" w:ascii="仿宋" w:hAnsi="仿宋" w:eastAsia="仿宋" w:cs="仿宋"/>
          <w:sz w:val="32"/>
          <w:szCs w:val="32"/>
        </w:rPr>
        <w:t>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二章“决策背景”。主要阐述本项目实施的具体背景。按照市委、市政府“办赛事、办城市”决策部署，落实为赛事提供优良城市环境保障，进一步推动城市品质提升的相关工作要求。根据福田区委区政府《第十五届全国运动会和全国第十二届残疾人运动会暨第九届特殊奥林匹克运动会福田赛区筹备工作总体方案》（福委办字〔2024〕5号）确定的职责分工，研究制定深圳市体育馆周边（南北侧）市政绿地功能完善工程项目方案并组织实施。</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第三章“决策依据”。</w:t>
      </w:r>
      <w:r>
        <w:rPr>
          <w:rFonts w:hint="eastAsia" w:ascii="仿宋" w:hAnsi="仿宋" w:eastAsia="仿宋" w:cs="仿宋"/>
          <w:sz w:val="32"/>
          <w:szCs w:val="32"/>
          <w:lang w:val="en-US" w:eastAsia="zh-CN"/>
        </w:rPr>
        <w:t>明确本项目</w:t>
      </w:r>
      <w:r>
        <w:rPr>
          <w:rFonts w:hint="eastAsia" w:ascii="仿宋" w:hAnsi="仿宋" w:eastAsia="仿宋" w:cs="仿宋"/>
          <w:sz w:val="32"/>
          <w:szCs w:val="32"/>
        </w:rPr>
        <w:t>决策依据</w:t>
      </w:r>
      <w:r>
        <w:rPr>
          <w:rFonts w:hint="eastAsia" w:ascii="仿宋" w:hAnsi="仿宋" w:eastAsia="仿宋" w:cs="仿宋"/>
          <w:sz w:val="32"/>
          <w:szCs w:val="32"/>
          <w:lang w:val="en-US" w:eastAsia="zh-CN"/>
        </w:rPr>
        <w:t>为</w:t>
      </w:r>
      <w:r>
        <w:rPr>
          <w:rFonts w:hint="eastAsia" w:ascii="仿宋" w:hAnsi="仿宋" w:eastAsia="仿宋" w:cs="仿宋"/>
          <w:sz w:val="32"/>
          <w:szCs w:val="32"/>
        </w:rPr>
        <w:t>《粤港澳大湾区发展规划纲要》《深圳市国土空间保护与发展“十四五”规划》《深圳市公园城市建设总体规划暨三年行动计划（2022—2024年）》《第十五届全国运动会和全国第十二届残疾人运动会暨第九届特殊奥林匹克运动会福田赛区筹备工作总体方案》（福委办字〔2024〕5号）《十五运会和残特奥会深圳赛区执委会关于印发〈第十五届全国运动会和全国第十二届残疾人运动会暨第九届特殊奥林匹克运动会深圳赛区城市品质提升工作方案〉的通知》（深执〔2024〕2号）</w:t>
      </w:r>
      <w:r>
        <w:rPr>
          <w:rFonts w:hint="eastAsia" w:ascii="仿宋" w:hAnsi="仿宋" w:eastAsia="仿宋" w:cs="仿宋"/>
          <w:sz w:val="32"/>
          <w:szCs w:val="32"/>
          <w:lang w:val="en-US" w:eastAsia="zh-CN"/>
        </w:rPr>
        <w:t>以及有关法律法规、规章及规范性文件。</w:t>
      </w:r>
    </w:p>
    <w:p>
      <w:pPr>
        <w:keepNext w:val="0"/>
        <w:keepLines w:val="0"/>
        <w:pageBreakBefore w:val="0"/>
        <w:widowControl w:val="0"/>
        <w:shd w:val="clear"/>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第四章“决策目标”。</w:t>
      </w:r>
      <w:r>
        <w:rPr>
          <w:rFonts w:hint="eastAsia" w:ascii="仿宋" w:hAnsi="仿宋" w:eastAsia="仿宋" w:cs="仿宋"/>
          <w:sz w:val="32"/>
          <w:szCs w:val="32"/>
          <w:highlight w:val="none"/>
          <w:lang w:val="en-US" w:eastAsia="zh-CN"/>
        </w:rPr>
        <w:t>明确决策的总体目标包括：（一）加快建设体育强国和深化体育领域供给侧结构性改革；（二）加快全面建设社会主义现代化典范城区和中国式现代化典范城区；（三）促进公园与城市的融合，打造公园城市；（四）助力推进深圳生态文明建设；（五）全力护航全运会、残特奥会成功举办；（六）进一步增强深圳市、福田区体育赛事的承办能力；（七）提升城区环境品质，提高市民城市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第五章“</w:t>
      </w:r>
      <w:r>
        <w:rPr>
          <w:rFonts w:hint="eastAsia" w:ascii="仿宋" w:hAnsi="仿宋" w:eastAsia="仿宋" w:cs="仿宋"/>
          <w:sz w:val="32"/>
          <w:szCs w:val="32"/>
          <w:lang w:val="en-US" w:eastAsia="zh-CN"/>
        </w:rPr>
        <w:t>工作任务</w:t>
      </w:r>
      <w:r>
        <w:rPr>
          <w:rFonts w:hint="eastAsia" w:ascii="仿宋" w:hAnsi="仿宋" w:eastAsia="仿宋" w:cs="仿宋"/>
          <w:sz w:val="32"/>
          <w:szCs w:val="32"/>
        </w:rPr>
        <w:t>”。</w:t>
      </w:r>
      <w:r>
        <w:rPr>
          <w:rFonts w:hint="eastAsia" w:ascii="仿宋" w:hAnsi="仿宋" w:eastAsia="仿宋" w:cs="仿宋"/>
          <w:sz w:val="32"/>
          <w:szCs w:val="32"/>
          <w:lang w:val="en-US" w:eastAsia="zh-CN"/>
        </w:rPr>
        <w:t>明确本项目主要任务是对体育馆周边三条市政路上绿化带进行基础功能完善，并打造六座主题街心公园。</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第六章“措施方法”。</w:t>
      </w:r>
      <w:r>
        <w:rPr>
          <w:rFonts w:hint="eastAsia" w:ascii="仿宋" w:hAnsi="仿宋" w:eastAsia="仿宋" w:cs="仿宋"/>
          <w:sz w:val="32"/>
          <w:szCs w:val="32"/>
          <w:lang w:val="en-US" w:eastAsia="zh-CN"/>
        </w:rPr>
        <w:t>主要阐述本</w:t>
      </w:r>
      <w:r>
        <w:rPr>
          <w:rFonts w:hint="eastAsia" w:ascii="仿宋" w:hAnsi="仿宋" w:eastAsia="仿宋" w:cs="仿宋"/>
          <w:sz w:val="32"/>
          <w:szCs w:val="32"/>
        </w:rPr>
        <w:t>项目</w:t>
      </w:r>
      <w:r>
        <w:rPr>
          <w:rFonts w:hint="eastAsia" w:ascii="仿宋" w:hAnsi="仿宋" w:eastAsia="仿宋" w:cs="仿宋"/>
          <w:sz w:val="32"/>
          <w:szCs w:val="32"/>
          <w:lang w:val="en-US" w:eastAsia="zh-CN"/>
        </w:rPr>
        <w:t>工程建设方案、环境影响评价措施、劳动安全卫生与消防保障措施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第七章“时间步骤”。</w:t>
      </w:r>
      <w:r>
        <w:rPr>
          <w:rFonts w:hint="eastAsia" w:ascii="仿宋" w:hAnsi="仿宋" w:eastAsia="仿宋" w:cs="仿宋"/>
          <w:sz w:val="32"/>
          <w:szCs w:val="32"/>
          <w:lang w:val="en-US" w:eastAsia="zh-CN"/>
        </w:rPr>
        <w:t>主要阐述项目的实施计划安排，本项目实施分前期准备阶段、实施阶段以及后期工作阶段三个阶段。本项目建设工期计划为11个月（部分工作工期重合），其中前期准备阶段工期计划</w:t>
      </w:r>
      <w:r>
        <w:rPr>
          <w:rFonts w:hint="eastAsia" w:ascii="仿宋" w:hAnsi="仿宋" w:eastAsia="仿宋" w:cs="仿宋"/>
          <w:sz w:val="32"/>
          <w:szCs w:val="32"/>
          <w:highlight w:val="none"/>
          <w:lang w:val="en-US" w:eastAsia="zh-CN"/>
        </w:rPr>
        <w:t>为5个月，实施</w:t>
      </w:r>
      <w:r>
        <w:rPr>
          <w:rFonts w:hint="eastAsia" w:ascii="仿宋" w:hAnsi="仿宋" w:eastAsia="仿宋" w:cs="仿宋"/>
          <w:sz w:val="32"/>
          <w:szCs w:val="32"/>
          <w:lang w:val="en-US" w:eastAsia="zh-CN"/>
        </w:rPr>
        <w:t>阶段工期计划为5个月，后期工作阶段计划为2个月。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第八章“</w:t>
      </w:r>
      <w:r>
        <w:rPr>
          <w:rFonts w:hint="eastAsia" w:ascii="仿宋" w:hAnsi="仿宋" w:eastAsia="仿宋" w:cs="仿宋"/>
          <w:sz w:val="32"/>
          <w:szCs w:val="32"/>
          <w:lang w:val="en-US" w:eastAsia="zh-CN"/>
        </w:rPr>
        <w:t>实施主体</w:t>
      </w:r>
      <w:r>
        <w:rPr>
          <w:rFonts w:hint="eastAsia" w:ascii="仿宋" w:hAnsi="仿宋" w:eastAsia="仿宋" w:cs="仿宋"/>
          <w:sz w:val="32"/>
          <w:szCs w:val="32"/>
        </w:rPr>
        <w:t>”。</w:t>
      </w:r>
      <w:r>
        <w:rPr>
          <w:rFonts w:hint="eastAsia" w:ascii="仿宋" w:hAnsi="仿宋" w:eastAsia="仿宋" w:cs="仿宋"/>
          <w:sz w:val="32"/>
          <w:szCs w:val="32"/>
          <w:lang w:val="en-US" w:eastAsia="zh-CN"/>
        </w:rPr>
        <w:t>明确本项目属于福田区重点城市景观和绿化建设项目，项目前期工作、建设工作由深圳市福田区城市管理和综合执法局负责组织开展。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第九章“经费预算”。</w:t>
      </w:r>
      <w:r>
        <w:rPr>
          <w:rFonts w:hint="eastAsia" w:ascii="仿宋" w:hAnsi="仿宋" w:eastAsia="仿宋" w:cs="仿宋"/>
          <w:sz w:val="32"/>
          <w:szCs w:val="32"/>
          <w:lang w:val="en-US" w:eastAsia="zh-CN"/>
        </w:rPr>
        <w:t>明确本项目总投资匡算3050.21万元，其中建安工程费用2397.56万元，工程建设其他费用426.71万元，预备费225.94万元，建安工程费用造价指标707元/㎡，总投资造价指标900元/㎡。项目经费由福田区政府财政列支。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第十章“评估计划”。</w:t>
      </w:r>
      <w:r>
        <w:rPr>
          <w:rFonts w:hint="eastAsia" w:ascii="仿宋" w:hAnsi="仿宋" w:eastAsia="仿宋" w:cs="仿宋"/>
          <w:sz w:val="32"/>
          <w:szCs w:val="32"/>
          <w:lang w:val="en-US" w:eastAsia="zh-CN"/>
        </w:rPr>
        <w:t>明确决策后评估计划的评估内容和评估方法。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E6EB1-7BCE-4680-A61E-2131173EAC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embedRegular r:id="rId2" w:fontKey="{F49C2527-76DA-41E6-9336-5523AB6A2FFF}"/>
  </w:font>
  <w:font w:name="方正小标宋简体">
    <w:panose1 w:val="02000000000000000000"/>
    <w:charset w:val="86"/>
    <w:family w:val="auto"/>
    <w:pitch w:val="default"/>
    <w:sig w:usb0="00000001" w:usb1="08000000" w:usb2="00000000" w:usb3="00000000" w:csb0="00040000" w:csb1="00000000"/>
    <w:embedRegular r:id="rId3" w:fontKey="{D1F30351-DE8F-4C5B-97DE-478426EBFC72}"/>
  </w:font>
  <w:font w:name="仿宋">
    <w:panose1 w:val="02010609060101010101"/>
    <w:charset w:val="86"/>
    <w:family w:val="auto"/>
    <w:pitch w:val="default"/>
    <w:sig w:usb0="800002BF" w:usb1="38CF7CFA" w:usb2="00000016" w:usb3="00000000" w:csb0="00040001" w:csb1="00000000"/>
    <w:embedRegular r:id="rId4" w:fontKey="{48AD7135-0426-41C1-B560-A2ADB9A21357}"/>
  </w:font>
  <w:font w:name="仿宋_GB2312">
    <w:panose1 w:val="02010609030101010101"/>
    <w:charset w:val="86"/>
    <w:family w:val="auto"/>
    <w:pitch w:val="default"/>
    <w:sig w:usb0="00000001" w:usb1="080E0000" w:usb2="00000000" w:usb3="00000000" w:csb0="00040000" w:csb1="00000000"/>
    <w:embedRegular r:id="rId5" w:fontKey="{89F73707-A90D-4726-8D91-34D85BC60486}"/>
  </w:font>
  <w:font w:name="楷体">
    <w:panose1 w:val="02010609060101010101"/>
    <w:charset w:val="86"/>
    <w:family w:val="auto"/>
    <w:pitch w:val="default"/>
    <w:sig w:usb0="800002BF" w:usb1="38CF7CFA" w:usb2="00000016" w:usb3="00000000" w:csb0="00040001" w:csb1="00000000"/>
    <w:embedRegular r:id="rId6" w:fontKey="{3C6D9C11-333A-403C-9C76-6E7C75C53F76}"/>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NiNDYwYjU3YzY5ODJjNTMxN2ExMjM0MjdiODgifQ=="/>
  </w:docVars>
  <w:rsids>
    <w:rsidRoot w:val="61E72C87"/>
    <w:rsid w:val="04C62A50"/>
    <w:rsid w:val="06053077"/>
    <w:rsid w:val="067078C7"/>
    <w:rsid w:val="06B037D1"/>
    <w:rsid w:val="077D3131"/>
    <w:rsid w:val="07EA1D81"/>
    <w:rsid w:val="096E23D0"/>
    <w:rsid w:val="0EBB3464"/>
    <w:rsid w:val="0F3059C8"/>
    <w:rsid w:val="0F6459AD"/>
    <w:rsid w:val="1091007D"/>
    <w:rsid w:val="1245393E"/>
    <w:rsid w:val="13711E66"/>
    <w:rsid w:val="1C2F2D15"/>
    <w:rsid w:val="1E232623"/>
    <w:rsid w:val="1EF43A6A"/>
    <w:rsid w:val="1F161654"/>
    <w:rsid w:val="1F8B3EF6"/>
    <w:rsid w:val="21DC0A31"/>
    <w:rsid w:val="21FE39B3"/>
    <w:rsid w:val="226472D7"/>
    <w:rsid w:val="22707050"/>
    <w:rsid w:val="23A52625"/>
    <w:rsid w:val="25043FD5"/>
    <w:rsid w:val="252D79D0"/>
    <w:rsid w:val="258F5C0B"/>
    <w:rsid w:val="25D845A8"/>
    <w:rsid w:val="260F021E"/>
    <w:rsid w:val="29BC68BF"/>
    <w:rsid w:val="2D880C35"/>
    <w:rsid w:val="2FD567E1"/>
    <w:rsid w:val="3545581D"/>
    <w:rsid w:val="37C30BF8"/>
    <w:rsid w:val="39742B2B"/>
    <w:rsid w:val="3A4E2DF8"/>
    <w:rsid w:val="3C3B7168"/>
    <w:rsid w:val="3CC07DFC"/>
    <w:rsid w:val="3DD16956"/>
    <w:rsid w:val="46BD2BBF"/>
    <w:rsid w:val="4EA053B3"/>
    <w:rsid w:val="50101F7F"/>
    <w:rsid w:val="50715C9D"/>
    <w:rsid w:val="54462764"/>
    <w:rsid w:val="56106212"/>
    <w:rsid w:val="56B21332"/>
    <w:rsid w:val="59036C6A"/>
    <w:rsid w:val="5AE517AC"/>
    <w:rsid w:val="5CDB6E2D"/>
    <w:rsid w:val="5D6A0736"/>
    <w:rsid w:val="5DB24FE6"/>
    <w:rsid w:val="5EC56201"/>
    <w:rsid w:val="618648DC"/>
    <w:rsid w:val="61E72C87"/>
    <w:rsid w:val="61FB0F58"/>
    <w:rsid w:val="62C97D66"/>
    <w:rsid w:val="63CE15D9"/>
    <w:rsid w:val="64A613FF"/>
    <w:rsid w:val="683A702D"/>
    <w:rsid w:val="69B56293"/>
    <w:rsid w:val="69DB26C2"/>
    <w:rsid w:val="6B080110"/>
    <w:rsid w:val="6BD0404B"/>
    <w:rsid w:val="6D367406"/>
    <w:rsid w:val="72E90EC2"/>
    <w:rsid w:val="7C152569"/>
    <w:rsid w:val="7D963E38"/>
    <w:rsid w:val="7EE2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200" w:after="600" w:line="500" w:lineRule="exact"/>
      <w:jc w:val="center"/>
      <w:outlineLvl w:val="0"/>
    </w:pPr>
    <w:rPr>
      <w:rFonts w:eastAsia="黑体"/>
      <w:b/>
      <w:bCs/>
      <w:kern w:val="44"/>
      <w:sz w:val="36"/>
      <w:szCs w:val="44"/>
    </w:rPr>
  </w:style>
  <w:style w:type="paragraph" w:styleId="3">
    <w:name w:val="heading 2"/>
    <w:basedOn w:val="1"/>
    <w:next w:val="1"/>
    <w:autoRedefine/>
    <w:qFormat/>
    <w:uiPriority w:val="0"/>
    <w:pPr>
      <w:keepNext/>
      <w:keepLines/>
      <w:spacing w:before="260" w:after="260" w:line="500" w:lineRule="exact"/>
      <w:outlineLvl w:val="1"/>
    </w:pPr>
    <w:rPr>
      <w:rFonts w:ascii="黑体" w:hAnsi="Arial" w:eastAsia="黑体"/>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3094</Words>
  <Characters>3332</Characters>
  <Lines>0</Lines>
  <Paragraphs>0</Paragraphs>
  <TotalTime>10</TotalTime>
  <ScaleCrop>false</ScaleCrop>
  <LinksUpToDate>false</LinksUpToDate>
  <CharactersWithSpaces>3340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2020-08-05T16:22:00Z</dcterms:created>
  <dc:creator>陈燕</dc:creator>
  <cp:lastModifiedBy>律师</cp:lastModifiedBy>
  <cp:lastPrinted>2023-07-26T00:48:00Z</cp:lastPrinted>
  <dcterms:modified xsi:type="dcterms:W3CDTF">2024-04-15T08:23:06Z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DE553CACD7EB4EECAE5BF05AF3354688</vt:lpwstr>
  </property>
</Properties>
</file>